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121" w:rsidRPr="00E9255A" w:rsidRDefault="000F46B5" w:rsidP="001501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mallCaps/>
          <w:sz w:val="36"/>
          <w:szCs w:val="36"/>
          <w:lang w:eastAsia="nb-NO"/>
        </w:rPr>
      </w:pPr>
      <w:r>
        <w:rPr>
          <w:rFonts w:eastAsia="Times New Roman" w:cstheme="minorHAnsi"/>
          <w:b/>
          <w:smallCaps/>
          <w:sz w:val="36"/>
          <w:szCs w:val="36"/>
          <w:lang w:eastAsia="nb-NO"/>
        </w:rPr>
        <w:t>Elite -</w:t>
      </w:r>
      <w:r w:rsidR="004E0238" w:rsidRPr="00E9255A">
        <w:rPr>
          <w:rFonts w:eastAsia="Times New Roman" w:cstheme="minorHAnsi"/>
          <w:b/>
          <w:smallCaps/>
          <w:sz w:val="36"/>
          <w:szCs w:val="36"/>
          <w:lang w:eastAsia="nb-NO"/>
        </w:rPr>
        <w:t xml:space="preserve"> Toppdommer</w:t>
      </w:r>
      <w:r w:rsidR="00150121" w:rsidRPr="00E9255A">
        <w:rPr>
          <w:rFonts w:eastAsia="Times New Roman" w:cstheme="minorHAnsi"/>
          <w:b/>
          <w:smallCaps/>
          <w:sz w:val="36"/>
          <w:szCs w:val="36"/>
          <w:lang w:eastAsia="nb-NO"/>
        </w:rPr>
        <w:t xml:space="preserve"> - Kontrakt</w:t>
      </w:r>
    </w:p>
    <w:p w:rsidR="00150121" w:rsidRDefault="00150121" w:rsidP="001501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mallCaps/>
          <w:lang w:eastAsia="nb-NO"/>
        </w:rPr>
      </w:pPr>
    </w:p>
    <w:p w:rsidR="00E9255A" w:rsidRPr="00E9255A" w:rsidRDefault="00E9255A" w:rsidP="001501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mallCaps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F46B5" w:rsidRPr="00E9255A" w:rsidTr="001C0709">
        <w:tc>
          <w:tcPr>
            <w:tcW w:w="1980" w:type="dxa"/>
          </w:tcPr>
          <w:p w:rsidR="000F46B5" w:rsidRPr="00AE014B" w:rsidRDefault="000F46B5" w:rsidP="000F46B5">
            <w:pPr>
              <w:spacing w:line="360" w:lineRule="auto"/>
              <w:rPr>
                <w:rFonts w:cstheme="minorHAnsi"/>
              </w:rPr>
            </w:pPr>
            <w:r w:rsidRPr="00AE014B">
              <w:rPr>
                <w:rFonts w:cstheme="minorHAnsi"/>
              </w:rPr>
              <w:t>Klubb</w:t>
            </w:r>
          </w:p>
        </w:tc>
        <w:tc>
          <w:tcPr>
            <w:tcW w:w="7082" w:type="dxa"/>
          </w:tcPr>
          <w:p w:rsidR="000F46B5" w:rsidRPr="00AE014B" w:rsidRDefault="000F46B5" w:rsidP="000F46B5">
            <w:pPr>
              <w:spacing w:line="360" w:lineRule="auto"/>
              <w:rPr>
                <w:rFonts w:cstheme="minorHAnsi"/>
              </w:rPr>
            </w:pPr>
            <w:r w:rsidRPr="00AE014B">
              <w:rPr>
                <w:rFonts w:cstheme="minorHAnsi"/>
              </w:rPr>
              <w:t>Navn</w:t>
            </w:r>
            <w:r>
              <w:rPr>
                <w:rFonts w:cstheme="minorHAnsi"/>
              </w:rPr>
              <w:t xml:space="preserve"> på klubben</w:t>
            </w:r>
          </w:p>
        </w:tc>
      </w:tr>
      <w:tr w:rsidR="000F46B5" w:rsidRPr="00E9255A" w:rsidTr="001C0709">
        <w:tc>
          <w:tcPr>
            <w:tcW w:w="1980" w:type="dxa"/>
          </w:tcPr>
          <w:p w:rsidR="000F46B5" w:rsidRPr="00AE014B" w:rsidRDefault="000F46B5" w:rsidP="000F46B5">
            <w:pPr>
              <w:spacing w:line="360" w:lineRule="auto"/>
              <w:rPr>
                <w:rFonts w:cstheme="minorHAnsi"/>
              </w:rPr>
            </w:pPr>
            <w:r w:rsidRPr="00AE014B">
              <w:rPr>
                <w:rFonts w:cstheme="minorHAnsi"/>
              </w:rPr>
              <w:t>Dommer</w:t>
            </w:r>
          </w:p>
        </w:tc>
        <w:tc>
          <w:tcPr>
            <w:tcW w:w="7082" w:type="dxa"/>
          </w:tcPr>
          <w:p w:rsidR="000F46B5" w:rsidRPr="00AE014B" w:rsidRDefault="000F46B5" w:rsidP="000F46B5">
            <w:pPr>
              <w:spacing w:line="360" w:lineRule="auto"/>
              <w:rPr>
                <w:rFonts w:cstheme="minorHAnsi"/>
              </w:rPr>
            </w:pPr>
            <w:r w:rsidRPr="00AE014B">
              <w:rPr>
                <w:rFonts w:cstheme="minorHAnsi"/>
              </w:rPr>
              <w:t>Navn</w:t>
            </w:r>
            <w:r>
              <w:rPr>
                <w:rFonts w:cstheme="minorHAnsi"/>
              </w:rPr>
              <w:t xml:space="preserve"> på dommer</w:t>
            </w:r>
          </w:p>
        </w:tc>
      </w:tr>
    </w:tbl>
    <w:p w:rsidR="00E9255A" w:rsidRPr="00E9255A" w:rsidRDefault="00E9255A" w:rsidP="00E925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397"/>
      </w:tblGrid>
      <w:tr w:rsidR="00E9255A" w:rsidRPr="00E9255A" w:rsidTr="001C0709">
        <w:tc>
          <w:tcPr>
            <w:tcW w:w="1980" w:type="dxa"/>
          </w:tcPr>
          <w:p w:rsidR="00E9255A" w:rsidRPr="00E9255A" w:rsidRDefault="00E9255A" w:rsidP="00E925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lang w:eastAsia="nb-NO"/>
              </w:rPr>
            </w:pPr>
            <w:r w:rsidRPr="00E9255A">
              <w:rPr>
                <w:rFonts w:eastAsia="Times New Roman" w:cstheme="minorHAnsi"/>
                <w:lang w:eastAsia="nb-NO"/>
              </w:rPr>
              <w:t>Kontraktsperiode</w:t>
            </w:r>
          </w:p>
        </w:tc>
        <w:tc>
          <w:tcPr>
            <w:tcW w:w="3685" w:type="dxa"/>
          </w:tcPr>
          <w:p w:rsidR="00E9255A" w:rsidRPr="00E9255A" w:rsidRDefault="00E9255A" w:rsidP="00E925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lang w:eastAsia="nb-NO"/>
              </w:rPr>
            </w:pPr>
            <w:r w:rsidRPr="00E9255A">
              <w:rPr>
                <w:rFonts w:eastAsia="Times New Roman" w:cstheme="minorHAnsi"/>
                <w:lang w:eastAsia="nb-NO"/>
              </w:rPr>
              <w:t>Fra:</w:t>
            </w:r>
          </w:p>
        </w:tc>
        <w:tc>
          <w:tcPr>
            <w:tcW w:w="3397" w:type="dxa"/>
          </w:tcPr>
          <w:p w:rsidR="00E9255A" w:rsidRPr="00E9255A" w:rsidRDefault="00E9255A" w:rsidP="00E925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lang w:eastAsia="nb-NO"/>
              </w:rPr>
            </w:pPr>
            <w:r w:rsidRPr="00E9255A">
              <w:rPr>
                <w:rFonts w:eastAsia="Times New Roman" w:cstheme="minorHAnsi"/>
                <w:lang w:eastAsia="nb-NO"/>
              </w:rPr>
              <w:t xml:space="preserve"> Til:</w:t>
            </w:r>
          </w:p>
        </w:tc>
      </w:tr>
    </w:tbl>
    <w:p w:rsidR="00150121" w:rsidRPr="00E9255A" w:rsidRDefault="00150121" w:rsidP="00150121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</w:p>
    <w:p w:rsidR="000F46B5" w:rsidRDefault="000F46B5" w:rsidP="000F46B5">
      <w:pPr>
        <w:rPr>
          <w:rFonts w:cstheme="minorHAnsi"/>
        </w:rPr>
      </w:pPr>
      <w:r w:rsidRPr="002373D4">
        <w:rPr>
          <w:rFonts w:cstheme="minorHAnsi"/>
        </w:rPr>
        <w:t xml:space="preserve">Hensikten med </w:t>
      </w:r>
      <w:r>
        <w:rPr>
          <w:rFonts w:cstheme="minorHAnsi"/>
        </w:rPr>
        <w:t>denne</w:t>
      </w:r>
      <w:r w:rsidRPr="002373D4">
        <w:rPr>
          <w:rFonts w:cstheme="minorHAnsi"/>
        </w:rPr>
        <w:t xml:space="preserve"> kontrakt</w:t>
      </w:r>
      <w:r>
        <w:rPr>
          <w:rFonts w:cstheme="minorHAnsi"/>
        </w:rPr>
        <w:t>en mellom dommer og klubb</w:t>
      </w:r>
      <w:r w:rsidRPr="002373D4">
        <w:rPr>
          <w:rFonts w:cstheme="minorHAnsi"/>
        </w:rPr>
        <w:t xml:space="preserve"> er </w:t>
      </w:r>
      <w:r>
        <w:rPr>
          <w:rFonts w:cstheme="minorHAnsi"/>
        </w:rPr>
        <w:t xml:space="preserve">å skape et ryddig og oversiktlig samarbeid.  Kontrakten skal være enkel og </w:t>
      </w:r>
      <w:r w:rsidRPr="002373D4">
        <w:rPr>
          <w:rFonts w:cstheme="minorHAnsi"/>
        </w:rPr>
        <w:t xml:space="preserve">avklare </w:t>
      </w:r>
      <w:r>
        <w:rPr>
          <w:rFonts w:cstheme="minorHAnsi"/>
        </w:rPr>
        <w:t xml:space="preserve">begge parters forpliktelser samt avklare </w:t>
      </w:r>
      <w:r w:rsidRPr="002373D4">
        <w:rPr>
          <w:rFonts w:cstheme="minorHAnsi"/>
        </w:rPr>
        <w:t xml:space="preserve">praktiske spørsmål </w:t>
      </w:r>
      <w:r>
        <w:rPr>
          <w:rFonts w:cstheme="minorHAnsi"/>
        </w:rPr>
        <w:t>i avtaleperioden</w:t>
      </w:r>
      <w:r w:rsidRPr="002373D4">
        <w:rPr>
          <w:rFonts w:cstheme="minorHAnsi"/>
        </w:rPr>
        <w:t>.</w:t>
      </w:r>
    </w:p>
    <w:p w:rsidR="000F46B5" w:rsidRPr="00AE014B" w:rsidRDefault="000F46B5" w:rsidP="000F46B5">
      <w:pPr>
        <w:rPr>
          <w:rFonts w:cstheme="minorHAnsi"/>
        </w:rPr>
      </w:pPr>
      <w:r>
        <w:rPr>
          <w:rFonts w:cstheme="minorHAnsi"/>
        </w:rPr>
        <w:t>Avtaleperioden bør være på minst en hel sesong, lenger kontrakter skaper bedre forutsigbarhet for alle parter.</w:t>
      </w:r>
    </w:p>
    <w:p w:rsidR="000F46B5" w:rsidRPr="00AE014B" w:rsidRDefault="000F46B5" w:rsidP="000F46B5">
      <w:pPr>
        <w:spacing w:line="276" w:lineRule="auto"/>
        <w:rPr>
          <w:rFonts w:cstheme="minorHAnsi"/>
        </w:rPr>
      </w:pPr>
      <w:r w:rsidRPr="00AE014B">
        <w:rPr>
          <w:rFonts w:cstheme="minorHAnsi"/>
        </w:rPr>
        <w:t>I kontraktstiden kan dommeren ikke melde seg inn i eller på annen måte representere andre klubber, med mindre begge parter er enige om å oppheve denne kontrakten</w:t>
      </w:r>
      <w:r>
        <w:rPr>
          <w:rFonts w:cstheme="minorHAnsi"/>
        </w:rPr>
        <w:t>,</w:t>
      </w:r>
      <w:r w:rsidRPr="00AE014B">
        <w:rPr>
          <w:rFonts w:cstheme="minorHAnsi"/>
        </w:rPr>
        <w:t xml:space="preserve"> eller at kontrakten fra en av partene blir rettmessig hevet.</w:t>
      </w:r>
    </w:p>
    <w:p w:rsidR="00150121" w:rsidRPr="00E9255A" w:rsidRDefault="00E9255A" w:rsidP="004E023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lang w:eastAsia="nb-NO"/>
        </w:rPr>
      </w:pPr>
      <w:r>
        <w:rPr>
          <w:rFonts w:eastAsia="Times New Roman" w:cstheme="minorHAnsi"/>
          <w:b/>
          <w:lang w:eastAsia="nb-NO"/>
        </w:rPr>
        <w:t>Dommeren forplikter seg til</w:t>
      </w:r>
      <w:r w:rsidR="00150121" w:rsidRPr="00E9255A">
        <w:rPr>
          <w:rFonts w:eastAsia="Times New Roman" w:cstheme="minorHAnsi"/>
          <w:b/>
          <w:lang w:eastAsia="nb-NO"/>
        </w:rPr>
        <w:t>:</w:t>
      </w:r>
    </w:p>
    <w:p w:rsidR="00E9255A" w:rsidRPr="00AE014B" w:rsidRDefault="00E9255A" w:rsidP="00E9255A">
      <w:pPr>
        <w:pStyle w:val="Listeavsnit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014B">
        <w:rPr>
          <w:rFonts w:asciiTheme="minorHAnsi" w:hAnsiTheme="minorHAnsi" w:cstheme="minorHAnsi"/>
          <w:sz w:val="22"/>
          <w:szCs w:val="22"/>
        </w:rPr>
        <w:t>Innordne seg etter klubbens, kretsen og Norges Ishockeyforbunds retningslinjer, styringsrett, lover og reglement. Være en positiv og lojal ambassadør for Norsk Ishockey.</w:t>
      </w:r>
    </w:p>
    <w:p w:rsidR="000F46B5" w:rsidRPr="00AE014B" w:rsidRDefault="000F46B5" w:rsidP="000F46B5">
      <w:pPr>
        <w:pStyle w:val="Listeavsnit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014B">
        <w:rPr>
          <w:rFonts w:asciiTheme="minorHAnsi" w:hAnsiTheme="minorHAnsi" w:cstheme="minorHAnsi"/>
          <w:sz w:val="22"/>
          <w:szCs w:val="22"/>
        </w:rPr>
        <w:t xml:space="preserve">Betale </w:t>
      </w:r>
      <w:r>
        <w:rPr>
          <w:rFonts w:asciiTheme="minorHAnsi" w:hAnsiTheme="minorHAnsi" w:cstheme="minorHAnsi"/>
          <w:sz w:val="22"/>
          <w:szCs w:val="22"/>
        </w:rPr>
        <w:t xml:space="preserve">klubbens </w:t>
      </w:r>
      <w:r w:rsidRPr="00AE014B">
        <w:rPr>
          <w:rFonts w:asciiTheme="minorHAnsi" w:hAnsiTheme="minorHAnsi" w:cstheme="minorHAnsi"/>
          <w:sz w:val="22"/>
          <w:szCs w:val="22"/>
        </w:rPr>
        <w:t>medlemskontingent før seriestart.</w:t>
      </w:r>
    </w:p>
    <w:p w:rsidR="00150121" w:rsidRPr="00E9255A" w:rsidRDefault="00150121" w:rsidP="004E023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360"/>
        <w:contextualSpacing/>
        <w:textAlignment w:val="baseline"/>
        <w:rPr>
          <w:rFonts w:eastAsia="Times New Roman" w:cstheme="minorHAnsi"/>
          <w:lang w:eastAsia="nb-NO"/>
        </w:rPr>
      </w:pPr>
      <w:r w:rsidRPr="00E9255A">
        <w:rPr>
          <w:rFonts w:eastAsia="Times New Roman" w:cstheme="minorHAnsi"/>
          <w:lang w:eastAsia="nb-NO"/>
        </w:rPr>
        <w:t>Benytte det representasjonsantrekk klubben eller overordnet organisasjonsledd eventuelt</w:t>
      </w:r>
    </w:p>
    <w:p w:rsidR="00150121" w:rsidRPr="00E9255A" w:rsidRDefault="00150121" w:rsidP="004E0238">
      <w:pPr>
        <w:overflowPunct w:val="0"/>
        <w:autoSpaceDE w:val="0"/>
        <w:autoSpaceDN w:val="0"/>
        <w:adjustRightInd w:val="0"/>
        <w:spacing w:after="0" w:line="276" w:lineRule="auto"/>
        <w:ind w:left="360"/>
        <w:contextualSpacing/>
        <w:textAlignment w:val="baseline"/>
        <w:rPr>
          <w:rFonts w:eastAsia="Times New Roman" w:cstheme="minorHAnsi"/>
          <w:lang w:eastAsia="nb-NO"/>
        </w:rPr>
      </w:pPr>
      <w:r w:rsidRPr="00E9255A">
        <w:rPr>
          <w:rFonts w:eastAsia="Times New Roman" w:cstheme="minorHAnsi"/>
          <w:lang w:eastAsia="nb-NO"/>
        </w:rPr>
        <w:t>skaffer til veie.</w:t>
      </w:r>
    </w:p>
    <w:p w:rsidR="00150121" w:rsidRPr="00E9255A" w:rsidRDefault="00150121" w:rsidP="004E023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360"/>
        <w:contextualSpacing/>
        <w:textAlignment w:val="baseline"/>
        <w:rPr>
          <w:rFonts w:eastAsia="Times New Roman" w:cstheme="minorHAnsi"/>
          <w:lang w:eastAsia="nb-NO"/>
        </w:rPr>
      </w:pPr>
      <w:r w:rsidRPr="00E9255A">
        <w:rPr>
          <w:rFonts w:eastAsia="Times New Roman" w:cstheme="minorHAnsi"/>
          <w:lang w:eastAsia="nb-NO"/>
        </w:rPr>
        <w:t xml:space="preserve">Dømme </w:t>
      </w:r>
      <w:r w:rsidR="004E0238" w:rsidRPr="00E9255A">
        <w:rPr>
          <w:rFonts w:eastAsia="Times New Roman" w:cstheme="minorHAnsi"/>
          <w:lang w:eastAsia="nb-NO"/>
        </w:rPr>
        <w:t>tildelte</w:t>
      </w:r>
      <w:r w:rsidRPr="00E9255A">
        <w:rPr>
          <w:rFonts w:eastAsia="Times New Roman" w:cstheme="minorHAnsi"/>
          <w:lang w:eastAsia="nb-NO"/>
        </w:rPr>
        <w:t xml:space="preserve"> treningskamper</w:t>
      </w:r>
      <w:r w:rsidR="000F46B5">
        <w:rPr>
          <w:rFonts w:eastAsia="Times New Roman" w:cstheme="minorHAnsi"/>
          <w:lang w:eastAsia="nb-NO"/>
        </w:rPr>
        <w:t>, der egen klubb er arrangør,</w:t>
      </w:r>
      <w:r w:rsidRPr="00E9255A">
        <w:rPr>
          <w:rFonts w:eastAsia="Times New Roman" w:cstheme="minorHAnsi"/>
          <w:lang w:eastAsia="nb-NO"/>
        </w:rPr>
        <w:t xml:space="preserve"> </w:t>
      </w:r>
      <w:r w:rsidR="00E9255A">
        <w:rPr>
          <w:rFonts w:eastAsia="Times New Roman" w:cstheme="minorHAnsi"/>
          <w:lang w:eastAsia="nb-NO"/>
        </w:rPr>
        <w:t>kun for kostnadsdekning</w:t>
      </w:r>
      <w:r w:rsidR="004E0238" w:rsidRPr="00E9255A">
        <w:rPr>
          <w:rFonts w:eastAsia="Times New Roman" w:cstheme="minorHAnsi"/>
          <w:lang w:eastAsia="nb-NO"/>
        </w:rPr>
        <w:t xml:space="preserve"> </w:t>
      </w:r>
      <w:r w:rsidRPr="00E9255A">
        <w:rPr>
          <w:rFonts w:eastAsia="Times New Roman" w:cstheme="minorHAnsi"/>
          <w:lang w:eastAsia="nb-NO"/>
        </w:rPr>
        <w:t>i løpet av sesongen</w:t>
      </w:r>
      <w:r w:rsidR="000F46B5">
        <w:rPr>
          <w:rFonts w:eastAsia="Times New Roman" w:cstheme="minorHAnsi"/>
          <w:lang w:eastAsia="nb-NO"/>
        </w:rPr>
        <w:t>.</w:t>
      </w:r>
      <w:r w:rsidR="004E0238" w:rsidRPr="00E9255A">
        <w:rPr>
          <w:rFonts w:eastAsia="Times New Roman" w:cstheme="minorHAnsi"/>
          <w:lang w:eastAsia="nb-NO"/>
        </w:rPr>
        <w:t xml:space="preserve"> </w:t>
      </w:r>
      <w:r w:rsidR="000F46B5">
        <w:rPr>
          <w:rFonts w:eastAsia="Times New Roman" w:cstheme="minorHAnsi"/>
          <w:lang w:eastAsia="nb-NO"/>
        </w:rPr>
        <w:t>D</w:t>
      </w:r>
      <w:r w:rsidR="00E9255A">
        <w:rPr>
          <w:rFonts w:eastAsia="Times New Roman" w:cstheme="minorHAnsi"/>
          <w:lang w:eastAsia="nb-NO"/>
        </w:rPr>
        <w:t xml:space="preserve">ette </w:t>
      </w:r>
      <w:r w:rsidR="000F46B5">
        <w:rPr>
          <w:rFonts w:eastAsia="Times New Roman" w:cstheme="minorHAnsi"/>
          <w:lang w:eastAsia="nb-NO"/>
        </w:rPr>
        <w:t>kan være</w:t>
      </w:r>
      <w:r w:rsidR="00E9255A">
        <w:rPr>
          <w:rFonts w:eastAsia="Times New Roman" w:cstheme="minorHAnsi"/>
          <w:lang w:eastAsia="nb-NO"/>
        </w:rPr>
        <w:t xml:space="preserve"> </w:t>
      </w:r>
      <w:r w:rsidR="000F46B5">
        <w:rPr>
          <w:rFonts w:eastAsia="Times New Roman" w:cstheme="minorHAnsi"/>
          <w:lang w:eastAsia="nb-NO"/>
        </w:rPr>
        <w:t xml:space="preserve">både </w:t>
      </w:r>
      <w:r w:rsidR="00E9255A">
        <w:rPr>
          <w:rFonts w:eastAsia="Times New Roman" w:cstheme="minorHAnsi"/>
          <w:lang w:eastAsia="nb-NO"/>
        </w:rPr>
        <w:t xml:space="preserve">kamper </w:t>
      </w:r>
      <w:r w:rsidR="004E0238" w:rsidRPr="00E9255A">
        <w:rPr>
          <w:rFonts w:eastAsia="Times New Roman" w:cstheme="minorHAnsi"/>
          <w:lang w:eastAsia="nb-NO"/>
        </w:rPr>
        <w:t xml:space="preserve">tildelt fra NIHF der KLUBB er arrangør eller </w:t>
      </w:r>
      <w:r w:rsidR="000F46B5">
        <w:rPr>
          <w:rFonts w:eastAsia="Times New Roman" w:cstheme="minorHAnsi"/>
          <w:lang w:eastAsia="nb-NO"/>
        </w:rPr>
        <w:t xml:space="preserve">kamper </w:t>
      </w:r>
      <w:r w:rsidR="004E0238" w:rsidRPr="00E9255A">
        <w:rPr>
          <w:rFonts w:eastAsia="Times New Roman" w:cstheme="minorHAnsi"/>
          <w:lang w:eastAsia="nb-NO"/>
        </w:rPr>
        <w:t>forespurt direkte fra KLUBB</w:t>
      </w:r>
      <w:r w:rsidRPr="00E9255A">
        <w:rPr>
          <w:rFonts w:eastAsia="Times New Roman" w:cstheme="minorHAnsi"/>
          <w:lang w:eastAsia="nb-NO"/>
        </w:rPr>
        <w:t>.</w:t>
      </w:r>
    </w:p>
    <w:p w:rsidR="004E0238" w:rsidRPr="00E9255A" w:rsidRDefault="00E9255A" w:rsidP="004E023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360"/>
        <w:contextualSpacing/>
        <w:textAlignment w:val="baseline"/>
        <w:rPr>
          <w:rFonts w:cstheme="minorHAnsi"/>
        </w:rPr>
      </w:pPr>
      <w:r>
        <w:rPr>
          <w:rFonts w:eastAsia="Times New Roman" w:cstheme="minorHAnsi"/>
          <w:lang w:eastAsia="nb-NO"/>
        </w:rPr>
        <w:t>D</w:t>
      </w:r>
      <w:r w:rsidR="004E0238" w:rsidRPr="00E9255A">
        <w:rPr>
          <w:rFonts w:eastAsia="Times New Roman" w:cstheme="minorHAnsi"/>
          <w:lang w:eastAsia="nb-NO"/>
        </w:rPr>
        <w:t xml:space="preserve">elta som veileder </w:t>
      </w:r>
      <w:r>
        <w:rPr>
          <w:rFonts w:eastAsia="Times New Roman" w:cstheme="minorHAnsi"/>
          <w:lang w:eastAsia="nb-NO"/>
        </w:rPr>
        <w:t xml:space="preserve">eller mentor </w:t>
      </w:r>
      <w:r w:rsidR="004E0238" w:rsidRPr="00E9255A">
        <w:rPr>
          <w:rFonts w:eastAsia="Times New Roman" w:cstheme="minorHAnsi"/>
          <w:lang w:eastAsia="nb-NO"/>
        </w:rPr>
        <w:t xml:space="preserve">for klubbens yngre dommere </w:t>
      </w:r>
      <w:r>
        <w:rPr>
          <w:rFonts w:eastAsia="Times New Roman" w:cstheme="minorHAnsi"/>
          <w:lang w:eastAsia="nb-NO"/>
        </w:rPr>
        <w:t>ved lokale arrangement</w:t>
      </w:r>
      <w:r w:rsidR="004E0238" w:rsidRPr="00E9255A">
        <w:rPr>
          <w:rFonts w:eastAsia="Times New Roman" w:cstheme="minorHAnsi"/>
          <w:lang w:eastAsia="nb-NO"/>
        </w:rPr>
        <w:t>.</w:t>
      </w:r>
    </w:p>
    <w:p w:rsidR="00E9255A" w:rsidRPr="00D77E2B" w:rsidRDefault="00E9255A" w:rsidP="00E9255A">
      <w:pPr>
        <w:pStyle w:val="Listeavsnit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Bistå klubbens Dommerkontakt - KDA med gjennomføring av</w:t>
      </w:r>
      <w:r w:rsidRPr="00D77E2B">
        <w:rPr>
          <w:rFonts w:asciiTheme="minorHAnsi" w:hAnsiTheme="minorHAnsi" w:cstheme="minorHAnsi"/>
          <w:sz w:val="22"/>
          <w:szCs w:val="22"/>
        </w:rPr>
        <w:t xml:space="preserve"> informasjonsmøter om regler </w:t>
      </w:r>
      <w:r>
        <w:rPr>
          <w:rFonts w:asciiTheme="minorHAnsi" w:hAnsiTheme="minorHAnsi" w:cstheme="minorHAnsi"/>
          <w:sz w:val="22"/>
          <w:szCs w:val="22"/>
        </w:rPr>
        <w:t>og holdninger samt gjennomføring klubbens egne klubbdommerkurs</w:t>
      </w:r>
      <w:r w:rsidRPr="00D77E2B">
        <w:rPr>
          <w:rFonts w:asciiTheme="minorHAnsi" w:hAnsiTheme="minorHAnsi" w:cstheme="minorHAnsi"/>
          <w:sz w:val="22"/>
          <w:szCs w:val="22"/>
        </w:rPr>
        <w:t>.</w:t>
      </w:r>
    </w:p>
    <w:p w:rsidR="00E9255A" w:rsidRDefault="00E9255A" w:rsidP="00E9255A">
      <w:pPr>
        <w:pStyle w:val="Listeavsnit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014B">
        <w:rPr>
          <w:rFonts w:asciiTheme="minorHAnsi" w:hAnsiTheme="minorHAnsi" w:cstheme="minorHAnsi"/>
          <w:sz w:val="22"/>
          <w:szCs w:val="22"/>
        </w:rPr>
        <w:t xml:space="preserve">Være tilgjengelig for å delta i nok kamper til at Norges Ishockeyforbund godkjenner deltakelse i henhold til NIHF Administrasjonsreglement §5 </w:t>
      </w:r>
    </w:p>
    <w:p w:rsidR="00E9255A" w:rsidRPr="00AE014B" w:rsidRDefault="00E9255A" w:rsidP="00E9255A">
      <w:pPr>
        <w:pStyle w:val="Listeavsnit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Fremlegge godkjente kvitteringer dersom utlegg gjøres i henhold til avtaletekst.</w:t>
      </w:r>
    </w:p>
    <w:p w:rsidR="00150121" w:rsidRPr="00E9255A" w:rsidRDefault="00150121" w:rsidP="00150121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</w:p>
    <w:p w:rsidR="00150121" w:rsidRPr="00E9255A" w:rsidRDefault="00E9255A" w:rsidP="00150121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lang w:eastAsia="nb-NO"/>
        </w:rPr>
      </w:pPr>
      <w:r>
        <w:rPr>
          <w:rFonts w:eastAsia="Times New Roman" w:cstheme="minorHAnsi"/>
          <w:b/>
          <w:lang w:eastAsia="nb-NO"/>
        </w:rPr>
        <w:t>Klubben forplikter seg til</w:t>
      </w:r>
      <w:r w:rsidR="00150121" w:rsidRPr="00E9255A">
        <w:rPr>
          <w:rFonts w:eastAsia="Times New Roman" w:cstheme="minorHAnsi"/>
          <w:b/>
          <w:lang w:eastAsia="nb-NO"/>
        </w:rPr>
        <w:t>:</w:t>
      </w:r>
    </w:p>
    <w:p w:rsidR="00E9255A" w:rsidRPr="00D77E2B" w:rsidRDefault="00E9255A" w:rsidP="00E9255A">
      <w:pPr>
        <w:pStyle w:val="Listeavsnit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77E2B">
        <w:rPr>
          <w:rFonts w:asciiTheme="minorHAnsi" w:hAnsiTheme="minorHAnsi" w:cstheme="minorHAnsi"/>
          <w:sz w:val="22"/>
          <w:szCs w:val="22"/>
        </w:rPr>
        <w:t>Betale utvidet lisens for dommeren.</w:t>
      </w:r>
    </w:p>
    <w:p w:rsidR="004E0238" w:rsidRDefault="00150121" w:rsidP="0015012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eastAsia="Times New Roman" w:cstheme="minorHAnsi"/>
          <w:lang w:eastAsia="nb-NO"/>
        </w:rPr>
      </w:pPr>
      <w:r w:rsidRPr="00E9255A">
        <w:rPr>
          <w:rFonts w:eastAsia="Times New Roman" w:cstheme="minorHAnsi"/>
          <w:lang w:eastAsia="nb-NO"/>
        </w:rPr>
        <w:t>Besørge nødvendig</w:t>
      </w:r>
      <w:r w:rsidR="000F46B5">
        <w:rPr>
          <w:rFonts w:eastAsia="Times New Roman" w:cstheme="minorHAnsi"/>
          <w:lang w:eastAsia="nb-NO"/>
        </w:rPr>
        <w:t xml:space="preserve"> og obligatorisk</w:t>
      </w:r>
      <w:r w:rsidRPr="00E9255A">
        <w:rPr>
          <w:rFonts w:eastAsia="Times New Roman" w:cstheme="minorHAnsi"/>
          <w:lang w:eastAsia="nb-NO"/>
        </w:rPr>
        <w:t xml:space="preserve"> trenings og dommerutstyr i avtaleperioden</w:t>
      </w:r>
      <w:r w:rsidR="004E0238" w:rsidRPr="00E9255A">
        <w:rPr>
          <w:rFonts w:eastAsia="Times New Roman" w:cstheme="minorHAnsi"/>
          <w:lang w:eastAsia="nb-NO"/>
        </w:rPr>
        <w:t xml:space="preserve">. Dette </w:t>
      </w:r>
      <w:r w:rsidR="000F46B5">
        <w:rPr>
          <w:rFonts w:eastAsia="Times New Roman" w:cstheme="minorHAnsi"/>
          <w:lang w:eastAsia="nb-NO"/>
        </w:rPr>
        <w:t xml:space="preserve">er </w:t>
      </w:r>
      <w:r w:rsidR="004E0238" w:rsidRPr="00E9255A">
        <w:rPr>
          <w:rFonts w:eastAsia="Times New Roman" w:cstheme="minorHAnsi"/>
          <w:lang w:eastAsia="nb-NO"/>
        </w:rPr>
        <w:t>egenandeler på utstyrspakker fra dommers forening eller NIHF. V</w:t>
      </w:r>
      <w:r w:rsidRPr="00E9255A">
        <w:rPr>
          <w:rFonts w:eastAsia="Times New Roman" w:cstheme="minorHAnsi"/>
          <w:lang w:eastAsia="nb-NO"/>
        </w:rPr>
        <w:t xml:space="preserve">ed bestilling av nytt utstyr skal dette bestilles via </w:t>
      </w:r>
      <w:r w:rsidR="004E0238" w:rsidRPr="00E9255A">
        <w:rPr>
          <w:rFonts w:eastAsia="Times New Roman" w:cstheme="minorHAnsi"/>
          <w:lang w:eastAsia="nb-NO"/>
        </w:rPr>
        <w:t>Dommers forening</w:t>
      </w:r>
      <w:r w:rsidRPr="00E9255A">
        <w:rPr>
          <w:rFonts w:eastAsia="Times New Roman" w:cstheme="minorHAnsi"/>
          <w:lang w:eastAsia="nb-NO"/>
        </w:rPr>
        <w:t xml:space="preserve"> eller NIHF</w:t>
      </w:r>
      <w:r w:rsidR="00E9255A">
        <w:rPr>
          <w:rFonts w:eastAsia="Times New Roman" w:cstheme="minorHAnsi"/>
          <w:lang w:eastAsia="nb-NO"/>
        </w:rPr>
        <w:t xml:space="preserve"> og være av samme merke som benyttes i NIHF sitt seriespill</w:t>
      </w:r>
      <w:r w:rsidRPr="00E9255A">
        <w:rPr>
          <w:rFonts w:eastAsia="Times New Roman" w:cstheme="minorHAnsi"/>
          <w:lang w:eastAsia="nb-NO"/>
        </w:rPr>
        <w:t xml:space="preserve">. </w:t>
      </w:r>
    </w:p>
    <w:p w:rsidR="00E9255A" w:rsidRDefault="00E9255A" w:rsidP="00E9255A">
      <w:pPr>
        <w:pStyle w:val="Listeavsnit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 kostnadsdekning på trenings og dommerutstyr begrenset oppad til kr 10.000,- i løpet av avtaleperioden.</w:t>
      </w:r>
    </w:p>
    <w:p w:rsidR="000F46B5" w:rsidRPr="00AE014B" w:rsidRDefault="000F46B5" w:rsidP="000F46B5">
      <w:pPr>
        <w:pStyle w:val="Brdtekst"/>
        <w:numPr>
          <w:ilvl w:val="0"/>
          <w:numId w:val="2"/>
        </w:numPr>
        <w:spacing w:line="276" w:lineRule="auto"/>
        <w:ind w:right="0"/>
        <w:rPr>
          <w:rFonts w:asciiTheme="minorHAnsi" w:hAnsiTheme="minorHAnsi" w:cstheme="minorHAnsi"/>
          <w:sz w:val="22"/>
          <w:szCs w:val="22"/>
        </w:rPr>
      </w:pPr>
      <w:r w:rsidRPr="00AE014B">
        <w:rPr>
          <w:rFonts w:asciiTheme="minorHAnsi" w:hAnsiTheme="minorHAnsi" w:cstheme="minorHAnsi"/>
          <w:sz w:val="22"/>
          <w:szCs w:val="22"/>
        </w:rPr>
        <w:t xml:space="preserve">Dekke egenandel ved deltakelse på pliktige </w:t>
      </w:r>
      <w:r>
        <w:rPr>
          <w:rFonts w:asciiTheme="minorHAnsi" w:hAnsiTheme="minorHAnsi" w:cstheme="minorHAnsi"/>
          <w:sz w:val="22"/>
          <w:szCs w:val="22"/>
        </w:rPr>
        <w:t>kurs i regi av krets, NIHF eller IIHF</w:t>
      </w:r>
      <w:r w:rsidRPr="00AE014B">
        <w:rPr>
          <w:rFonts w:asciiTheme="minorHAnsi" w:hAnsiTheme="minorHAnsi" w:cstheme="minorHAnsi"/>
          <w:sz w:val="22"/>
          <w:szCs w:val="22"/>
        </w:rPr>
        <w:t xml:space="preserve">. Klubben skal kun betale de faktiske utgiftene som enten er lagt ut eller </w:t>
      </w:r>
      <w:r>
        <w:rPr>
          <w:rFonts w:asciiTheme="minorHAnsi" w:hAnsiTheme="minorHAnsi" w:cstheme="minorHAnsi"/>
          <w:sz w:val="22"/>
          <w:szCs w:val="22"/>
        </w:rPr>
        <w:t>som faktureres klubb fra k</w:t>
      </w:r>
      <w:r w:rsidRPr="00AE014B">
        <w:rPr>
          <w:rFonts w:asciiTheme="minorHAnsi" w:hAnsiTheme="minorHAnsi" w:cstheme="minorHAnsi"/>
          <w:sz w:val="22"/>
          <w:szCs w:val="22"/>
        </w:rPr>
        <w:t>rets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E014B">
        <w:rPr>
          <w:rFonts w:asciiTheme="minorHAnsi" w:hAnsiTheme="minorHAnsi" w:cstheme="minorHAnsi"/>
          <w:sz w:val="22"/>
          <w:szCs w:val="22"/>
        </w:rPr>
        <w:t xml:space="preserve"> NIHF</w:t>
      </w:r>
      <w:r>
        <w:rPr>
          <w:rFonts w:asciiTheme="minorHAnsi" w:hAnsiTheme="minorHAnsi" w:cstheme="minorHAnsi"/>
          <w:sz w:val="22"/>
          <w:szCs w:val="22"/>
        </w:rPr>
        <w:t xml:space="preserve"> eller IIHF</w:t>
      </w:r>
      <w:r w:rsidRPr="00AE014B">
        <w:rPr>
          <w:rFonts w:asciiTheme="minorHAnsi" w:hAnsiTheme="minorHAnsi" w:cstheme="minorHAnsi"/>
          <w:sz w:val="22"/>
          <w:szCs w:val="22"/>
        </w:rPr>
        <w:t xml:space="preserve">. Frivillige samlinger skal til enhver tid diskuteres. </w:t>
      </w:r>
    </w:p>
    <w:p w:rsidR="004E0238" w:rsidRPr="00E9255A" w:rsidRDefault="004E0238" w:rsidP="0015012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  <w:r w:rsidRPr="00E9255A">
        <w:rPr>
          <w:rFonts w:eastAsia="Times New Roman" w:cstheme="minorHAnsi"/>
          <w:lang w:eastAsia="nb-NO"/>
        </w:rPr>
        <w:lastRenderedPageBreak/>
        <w:t xml:space="preserve">Stille klubbens medisinske </w:t>
      </w:r>
      <w:r w:rsidR="00543CBB" w:rsidRPr="00E9255A">
        <w:rPr>
          <w:rFonts w:eastAsia="Times New Roman" w:cstheme="minorHAnsi"/>
          <w:lang w:eastAsia="nb-NO"/>
        </w:rPr>
        <w:t>støtteapparat</w:t>
      </w:r>
      <w:r w:rsidR="00E9255A">
        <w:rPr>
          <w:rFonts w:eastAsia="Times New Roman" w:cstheme="minorHAnsi"/>
          <w:lang w:eastAsia="nb-NO"/>
        </w:rPr>
        <w:t xml:space="preserve"> til disposisjon ved skad</w:t>
      </w:r>
      <w:r w:rsidRPr="00E9255A">
        <w:rPr>
          <w:rFonts w:eastAsia="Times New Roman" w:cstheme="minorHAnsi"/>
          <w:lang w:eastAsia="nb-NO"/>
        </w:rPr>
        <w:t xml:space="preserve">er og sykdom oppstått i forbindelse med kamp eller trening. Utgifter til </w:t>
      </w:r>
      <w:r w:rsidR="00E9255A">
        <w:rPr>
          <w:rFonts w:eastAsia="Times New Roman" w:cstheme="minorHAnsi"/>
          <w:lang w:eastAsia="nb-NO"/>
        </w:rPr>
        <w:t xml:space="preserve">i denne forbindelse - </w:t>
      </w:r>
      <w:r w:rsidRPr="00E9255A">
        <w:rPr>
          <w:rFonts w:eastAsia="Times New Roman" w:cstheme="minorHAnsi"/>
          <w:lang w:eastAsia="nb-NO"/>
        </w:rPr>
        <w:t>lege, t</w:t>
      </w:r>
      <w:r w:rsidR="00E9255A">
        <w:rPr>
          <w:rFonts w:eastAsia="Times New Roman" w:cstheme="minorHAnsi"/>
          <w:lang w:eastAsia="nb-NO"/>
        </w:rPr>
        <w:t>annlege og fysikalsk behandling -</w:t>
      </w:r>
      <w:r w:rsidRPr="00E9255A">
        <w:rPr>
          <w:rFonts w:eastAsia="Times New Roman" w:cstheme="minorHAnsi"/>
          <w:lang w:eastAsia="nb-NO"/>
        </w:rPr>
        <w:t xml:space="preserve"> som ikke dekkes av </w:t>
      </w:r>
      <w:r w:rsidR="00543CBB" w:rsidRPr="00E9255A">
        <w:rPr>
          <w:rFonts w:eastAsia="Times New Roman" w:cstheme="minorHAnsi"/>
          <w:lang w:eastAsia="nb-NO"/>
        </w:rPr>
        <w:t>NIHF lisens, men kan relateres til kamp eller trening dekkes av klubben.</w:t>
      </w:r>
    </w:p>
    <w:p w:rsidR="00543CBB" w:rsidRPr="00E9255A" w:rsidRDefault="00543CBB" w:rsidP="0015012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  <w:r w:rsidRPr="00E9255A">
        <w:rPr>
          <w:rFonts w:eastAsia="Times New Roman" w:cstheme="minorHAnsi"/>
          <w:lang w:eastAsia="nb-NO"/>
        </w:rPr>
        <w:t>Være i dialog med klubbens dommere og Dommerkontakt - Klubbdommeransvarlig før og under sesong slik at de kan få tilgang til is-timer og eventuelt andre treningsfasiliteter.</w:t>
      </w:r>
    </w:p>
    <w:p w:rsidR="00150121" w:rsidRPr="00E9255A" w:rsidRDefault="00150121" w:rsidP="0015012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eastAsia="Times New Roman" w:cstheme="minorHAnsi"/>
          <w:lang w:eastAsia="nb-NO"/>
        </w:rPr>
      </w:pPr>
      <w:r w:rsidRPr="00E9255A">
        <w:rPr>
          <w:rFonts w:eastAsia="Times New Roman" w:cstheme="minorHAnsi"/>
          <w:lang w:eastAsia="nb-NO"/>
        </w:rPr>
        <w:t xml:space="preserve">Gi dommer tilgang til eksterne samarbeidsavtaler som for eksempel treningssenter eller annet klubben tilbyr sine medlemmer </w:t>
      </w:r>
    </w:p>
    <w:p w:rsidR="00150121" w:rsidRDefault="00150121" w:rsidP="00150121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</w:p>
    <w:p w:rsidR="000F46B5" w:rsidRPr="00E9255A" w:rsidRDefault="000F46B5" w:rsidP="00150121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Obligatorisk utstyr for elite og toppdommere fastsettes fra NIHF og NIT (Dommernes interesseorganisasjon)</w:t>
      </w:r>
    </w:p>
    <w:p w:rsidR="00150121" w:rsidRPr="00E9255A" w:rsidRDefault="00150121" w:rsidP="00150121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</w:p>
    <w:p w:rsidR="00E9255A" w:rsidRDefault="00E9255A" w:rsidP="00E9255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  <w:r w:rsidRPr="00E9255A">
        <w:rPr>
          <w:rFonts w:eastAsia="Times New Roman" w:cstheme="minorHAnsi"/>
          <w:lang w:eastAsia="nb-NO"/>
        </w:rPr>
        <w:t xml:space="preserve">Kontrakten kan ved hver mellomsesong være gjenstand for diskusjon vedrørende endringer. Dersom det er enighet om å terminere kontrakten før utløp, skal klubbens eller dommerens utlegg gjøres opp umiddelbart og dommer fristilles deretter. </w:t>
      </w:r>
    </w:p>
    <w:p w:rsidR="000F46B5" w:rsidRDefault="000F46B5" w:rsidP="00E9255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</w:p>
    <w:p w:rsidR="000F46B5" w:rsidRPr="000F46B5" w:rsidRDefault="000F46B5" w:rsidP="000F46B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  <w:r w:rsidRPr="000F46B5">
        <w:rPr>
          <w:rFonts w:eastAsia="Times New Roman" w:cstheme="minorHAnsi"/>
          <w:lang w:eastAsia="nb-NO"/>
        </w:rPr>
        <w:t>Dersom, i løpet av avtaleperioden, en dommers nivå endres fra Kretsen eller NIHF, kan dommer eller klubb kreve at kontrakten skal revurderes til rett nivå.</w:t>
      </w:r>
    </w:p>
    <w:p w:rsidR="000F46B5" w:rsidRDefault="000F46B5" w:rsidP="00E9255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</w:p>
    <w:p w:rsidR="00E9255A" w:rsidRPr="00E9255A" w:rsidRDefault="00E9255A" w:rsidP="00E9255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  <w:r w:rsidRPr="00E9255A">
        <w:rPr>
          <w:rFonts w:eastAsia="Times New Roman" w:cstheme="minorHAnsi"/>
          <w:lang w:eastAsia="nb-NO"/>
        </w:rPr>
        <w:t>Utstyr som tildeles dommer, eller anskaffes av dommer via utleggsdekning i løpet av avtaleperioden er klubbens eie og skal returneres til klubben når avtalen utløper eller avsluttes.</w:t>
      </w:r>
    </w:p>
    <w:p w:rsidR="00E9255A" w:rsidRPr="00E9255A" w:rsidRDefault="00E9255A" w:rsidP="00E9255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</w:p>
    <w:p w:rsidR="00E9255A" w:rsidRPr="00E9255A" w:rsidRDefault="00E9255A" w:rsidP="00E9255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  <w:r w:rsidRPr="00E9255A">
        <w:rPr>
          <w:rFonts w:eastAsia="Times New Roman" w:cstheme="minorHAnsi"/>
          <w:lang w:eastAsia="nb-NO"/>
        </w:rPr>
        <w:t xml:space="preserve">Ved kontraktstidens utløp eller dersom rettmessig heving er foretatt, kan dommeren fritt søke overgang til annen klubb. Overgang må skje iht. </w:t>
      </w:r>
      <w:proofErr w:type="spellStart"/>
      <w:r w:rsidRPr="00E9255A">
        <w:rPr>
          <w:rFonts w:eastAsia="Times New Roman" w:cstheme="minorHAnsi"/>
          <w:lang w:eastAsia="nb-NO"/>
        </w:rPr>
        <w:t>NIHF`s</w:t>
      </w:r>
      <w:proofErr w:type="spellEnd"/>
      <w:r w:rsidRPr="00E9255A">
        <w:rPr>
          <w:rFonts w:eastAsia="Times New Roman" w:cstheme="minorHAnsi"/>
          <w:lang w:eastAsia="nb-NO"/>
        </w:rPr>
        <w:t xml:space="preserve"> lover og regler.</w:t>
      </w:r>
    </w:p>
    <w:p w:rsidR="00E9255A" w:rsidRPr="00E9255A" w:rsidRDefault="00E9255A" w:rsidP="00E9255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  <w:bookmarkStart w:id="0" w:name="_GoBack"/>
      <w:bookmarkEnd w:id="0"/>
    </w:p>
    <w:p w:rsidR="00E9255A" w:rsidRPr="00E9255A" w:rsidRDefault="00E9255A" w:rsidP="00E9255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  <w:r w:rsidRPr="00E9255A">
        <w:rPr>
          <w:rFonts w:eastAsia="Times New Roman" w:cstheme="minorHAnsi"/>
          <w:lang w:eastAsia="nb-NO"/>
        </w:rPr>
        <w:t>Ved vesentlig kontraktsbrudd kan den annen part heve kontrakten. Som vesentlig kontraktsbrudd regnes å unnlate å oppfylle forpliktelsene nevnt ovenfor.</w:t>
      </w:r>
    </w:p>
    <w:p w:rsidR="00E9255A" w:rsidRPr="00E9255A" w:rsidRDefault="00E9255A" w:rsidP="00E9255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</w:p>
    <w:p w:rsidR="00E9255A" w:rsidRPr="00E9255A" w:rsidRDefault="00E9255A" w:rsidP="00E9255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  <w:r w:rsidRPr="00E9255A">
        <w:rPr>
          <w:rFonts w:eastAsia="Times New Roman" w:cstheme="minorHAnsi"/>
          <w:lang w:eastAsia="nb-NO"/>
        </w:rPr>
        <w:t>Begge parter forplikter seg i enhver sammenheng å innordne seg etter NIHF og overordnet organisasjonsledds lover og reglement.</w:t>
      </w:r>
    </w:p>
    <w:p w:rsidR="00E9255A" w:rsidRPr="00E9255A" w:rsidRDefault="00E9255A" w:rsidP="00E9255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</w:p>
    <w:p w:rsidR="00E9255A" w:rsidRPr="00E9255A" w:rsidRDefault="00E9255A" w:rsidP="00E9255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  <w:r w:rsidRPr="00E9255A">
        <w:rPr>
          <w:rFonts w:eastAsia="Times New Roman" w:cstheme="minorHAnsi"/>
          <w:lang w:eastAsia="nb-NO"/>
        </w:rPr>
        <w:t>Kontrakten er utstedt i 2 -to- eksemplarer hvorav parten beholder hvert sitt.</w:t>
      </w:r>
    </w:p>
    <w:p w:rsidR="00150121" w:rsidRPr="00E9255A" w:rsidRDefault="00150121" w:rsidP="00150121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</w:p>
    <w:p w:rsidR="00150121" w:rsidRPr="00E9255A" w:rsidRDefault="00150121" w:rsidP="00150121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</w:p>
    <w:p w:rsidR="00150121" w:rsidRPr="00E9255A" w:rsidRDefault="00150121" w:rsidP="00150121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425"/>
        <w:gridCol w:w="4394"/>
      </w:tblGrid>
      <w:tr w:rsidR="00150121" w:rsidRPr="00E9255A" w:rsidTr="003714E9">
        <w:trPr>
          <w:trHeight w:val="480"/>
        </w:trPr>
        <w:tc>
          <w:tcPr>
            <w:tcW w:w="389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0121" w:rsidRPr="00E9255A" w:rsidRDefault="00150121" w:rsidP="0015012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E9255A">
              <w:rPr>
                <w:rFonts w:eastAsia="Times New Roman" w:cstheme="minorHAnsi"/>
                <w:lang w:eastAsia="nb-NO"/>
              </w:rPr>
              <w:t>Sted: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0121" w:rsidRPr="00E9255A" w:rsidRDefault="00150121" w:rsidP="0015012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0121" w:rsidRPr="00E9255A" w:rsidRDefault="00150121" w:rsidP="0015012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E9255A">
              <w:rPr>
                <w:rFonts w:eastAsia="Times New Roman" w:cstheme="minorHAnsi"/>
                <w:lang w:eastAsia="nb-NO"/>
              </w:rPr>
              <w:t xml:space="preserve">Dato:  </w:t>
            </w:r>
          </w:p>
        </w:tc>
      </w:tr>
      <w:tr w:rsidR="00150121" w:rsidRPr="00E9255A" w:rsidTr="003714E9">
        <w:trPr>
          <w:trHeight w:val="48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150121" w:rsidRPr="00E9255A" w:rsidRDefault="00150121" w:rsidP="0015012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50121" w:rsidRPr="00E9255A" w:rsidRDefault="00150121" w:rsidP="0015012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50121" w:rsidRPr="00E9255A" w:rsidRDefault="00150121" w:rsidP="0015012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</w:tr>
      <w:tr w:rsidR="00150121" w:rsidRPr="00E9255A" w:rsidTr="003714E9">
        <w:trPr>
          <w:trHeight w:val="480"/>
        </w:trPr>
        <w:tc>
          <w:tcPr>
            <w:tcW w:w="389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0121" w:rsidRPr="00E9255A" w:rsidRDefault="00150121" w:rsidP="0015012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E9255A">
              <w:rPr>
                <w:rFonts w:eastAsia="Times New Roman" w:cstheme="minorHAnsi"/>
                <w:lang w:eastAsia="nb-NO"/>
              </w:rPr>
              <w:t xml:space="preserve">Dommer –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50121" w:rsidRPr="00E9255A" w:rsidRDefault="00150121" w:rsidP="0015012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0121" w:rsidRPr="00E9255A" w:rsidRDefault="00150121" w:rsidP="0015012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E9255A">
              <w:rPr>
                <w:rFonts w:eastAsia="Times New Roman" w:cstheme="minorHAnsi"/>
                <w:lang w:eastAsia="nb-NO"/>
              </w:rPr>
              <w:t xml:space="preserve">Klubb –  </w:t>
            </w:r>
          </w:p>
        </w:tc>
      </w:tr>
    </w:tbl>
    <w:p w:rsidR="00FE529B" w:rsidRPr="00E9255A" w:rsidRDefault="00FE529B">
      <w:pPr>
        <w:rPr>
          <w:rFonts w:cstheme="minorHAnsi"/>
        </w:rPr>
      </w:pPr>
    </w:p>
    <w:sectPr w:rsidR="00FE529B" w:rsidRPr="00E9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1B110790"/>
    <w:multiLevelType w:val="hybridMultilevel"/>
    <w:tmpl w:val="25C661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18235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F1B80"/>
    <w:multiLevelType w:val="hybridMultilevel"/>
    <w:tmpl w:val="84B8121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21"/>
    <w:rsid w:val="000F46B5"/>
    <w:rsid w:val="00150121"/>
    <w:rsid w:val="004E0238"/>
    <w:rsid w:val="00543CBB"/>
    <w:rsid w:val="00E9255A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B7D2"/>
  <w15:chartTrackingRefBased/>
  <w15:docId w15:val="{44874312-0779-45D8-BB3A-F694CF0D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9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9255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rdtekst">
    <w:name w:val="Body Text"/>
    <w:basedOn w:val="Normal"/>
    <w:link w:val="BrdtekstTegn"/>
    <w:rsid w:val="000F46B5"/>
    <w:pPr>
      <w:overflowPunct w:val="0"/>
      <w:autoSpaceDE w:val="0"/>
      <w:autoSpaceDN w:val="0"/>
      <w:adjustRightInd w:val="0"/>
      <w:spacing w:after="0" w:line="240" w:lineRule="auto"/>
      <w:ind w:right="1700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0F46B5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675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Geir Thomas</dc:creator>
  <cp:keywords/>
  <dc:description/>
  <cp:lastModifiedBy>Olsen, Geir Thomas</cp:lastModifiedBy>
  <cp:revision>4</cp:revision>
  <dcterms:created xsi:type="dcterms:W3CDTF">2018-05-02T11:52:00Z</dcterms:created>
  <dcterms:modified xsi:type="dcterms:W3CDTF">2018-05-15T13:27:00Z</dcterms:modified>
</cp:coreProperties>
</file>