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91" w:rsidRPr="00D77E2B" w:rsidRDefault="00885C7C" w:rsidP="00130B91">
      <w:pPr>
        <w:pStyle w:val="Brdtekst2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D77E2B">
        <w:rPr>
          <w:rFonts w:asciiTheme="minorHAnsi" w:hAnsiTheme="minorHAnsi" w:cstheme="minorHAnsi"/>
          <w:sz w:val="36"/>
          <w:szCs w:val="36"/>
        </w:rPr>
        <w:t>Forbundsdommer - Kontrakt</w:t>
      </w:r>
    </w:p>
    <w:p w:rsidR="00885C7C" w:rsidRDefault="00885C7C" w:rsidP="00130B91">
      <w:pPr>
        <w:pStyle w:val="Brdtekst2"/>
        <w:ind w:right="0"/>
        <w:jc w:val="center"/>
        <w:rPr>
          <w:rFonts w:asciiTheme="minorHAnsi" w:hAnsiTheme="minorHAnsi" w:cstheme="minorHAnsi"/>
        </w:rPr>
      </w:pPr>
    </w:p>
    <w:p w:rsidR="00D77E2B" w:rsidRPr="00D77E2B" w:rsidRDefault="00D77E2B" w:rsidP="00130B91">
      <w:pPr>
        <w:pStyle w:val="Brdtekst2"/>
        <w:ind w:righ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F1151" w:rsidRPr="00D77E2B" w:rsidTr="00DD5F02">
        <w:tc>
          <w:tcPr>
            <w:tcW w:w="1980" w:type="dxa"/>
          </w:tcPr>
          <w:p w:rsidR="00EF1151" w:rsidRPr="00AE014B" w:rsidRDefault="00EF1151" w:rsidP="00EF115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Klubb</w:t>
            </w:r>
          </w:p>
        </w:tc>
        <w:tc>
          <w:tcPr>
            <w:tcW w:w="7082" w:type="dxa"/>
          </w:tcPr>
          <w:p w:rsidR="00EF1151" w:rsidRPr="00AE014B" w:rsidRDefault="00EF1151" w:rsidP="00EF115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på klubben</w:t>
            </w:r>
          </w:p>
        </w:tc>
      </w:tr>
      <w:tr w:rsidR="00EF1151" w:rsidRPr="00D77E2B" w:rsidTr="00DD5F02">
        <w:tc>
          <w:tcPr>
            <w:tcW w:w="1980" w:type="dxa"/>
          </w:tcPr>
          <w:p w:rsidR="00EF1151" w:rsidRPr="00AE014B" w:rsidRDefault="00EF1151" w:rsidP="00EF115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Dommer</w:t>
            </w:r>
          </w:p>
        </w:tc>
        <w:tc>
          <w:tcPr>
            <w:tcW w:w="7082" w:type="dxa"/>
          </w:tcPr>
          <w:p w:rsidR="00EF1151" w:rsidRPr="00AE014B" w:rsidRDefault="00EF1151" w:rsidP="00EF115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på dommer</w:t>
            </w:r>
          </w:p>
        </w:tc>
      </w:tr>
    </w:tbl>
    <w:p w:rsidR="00D77E2B" w:rsidRPr="00D77E2B" w:rsidRDefault="00D77E2B" w:rsidP="00D77E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D77E2B" w:rsidRPr="00D77E2B" w:rsidTr="00DD5F02">
        <w:tc>
          <w:tcPr>
            <w:tcW w:w="1980" w:type="dxa"/>
          </w:tcPr>
          <w:p w:rsidR="00D77E2B" w:rsidRPr="00D77E2B" w:rsidRDefault="00D77E2B" w:rsidP="00DD5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>Kontraktsperiode</w:t>
            </w:r>
          </w:p>
        </w:tc>
        <w:tc>
          <w:tcPr>
            <w:tcW w:w="3685" w:type="dxa"/>
          </w:tcPr>
          <w:p w:rsidR="00D77E2B" w:rsidRPr="00D77E2B" w:rsidRDefault="00D77E2B" w:rsidP="00DD5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>Fra:</w:t>
            </w:r>
          </w:p>
        </w:tc>
        <w:tc>
          <w:tcPr>
            <w:tcW w:w="3397" w:type="dxa"/>
          </w:tcPr>
          <w:p w:rsidR="00D77E2B" w:rsidRPr="00D77E2B" w:rsidRDefault="00D77E2B" w:rsidP="00DD5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 xml:space="preserve"> Til:</w:t>
            </w:r>
          </w:p>
        </w:tc>
      </w:tr>
    </w:tbl>
    <w:p w:rsidR="00DA2A14" w:rsidRPr="00D77E2B" w:rsidRDefault="00DA2A14" w:rsidP="00885C7C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F1151" w:rsidRDefault="00EF1151" w:rsidP="00EF1151">
      <w:pPr>
        <w:rPr>
          <w:rFonts w:asciiTheme="minorHAnsi" w:hAnsiTheme="minorHAnsi" w:cstheme="minorHAnsi"/>
          <w:sz w:val="22"/>
          <w:szCs w:val="22"/>
        </w:rPr>
      </w:pPr>
      <w:bookmarkStart w:id="0" w:name="_Hlk514160875"/>
      <w:r w:rsidRPr="002373D4">
        <w:rPr>
          <w:rFonts w:asciiTheme="minorHAnsi" w:hAnsiTheme="minorHAnsi" w:cstheme="minorHAnsi"/>
          <w:sz w:val="22"/>
          <w:szCs w:val="22"/>
        </w:rPr>
        <w:t xml:space="preserve">Hensikten med </w:t>
      </w:r>
      <w:r>
        <w:rPr>
          <w:rFonts w:asciiTheme="minorHAnsi" w:hAnsiTheme="minorHAnsi" w:cstheme="minorHAnsi"/>
          <w:sz w:val="22"/>
          <w:szCs w:val="22"/>
        </w:rPr>
        <w:t>denne</w:t>
      </w:r>
      <w:r w:rsidRPr="002373D4">
        <w:rPr>
          <w:rFonts w:asciiTheme="minorHAnsi" w:hAnsiTheme="minorHAnsi" w:cstheme="minorHAnsi"/>
          <w:sz w:val="22"/>
          <w:szCs w:val="22"/>
        </w:rPr>
        <w:t xml:space="preserve"> kontrakt</w:t>
      </w:r>
      <w:r>
        <w:rPr>
          <w:rFonts w:asciiTheme="minorHAnsi" w:hAnsiTheme="minorHAnsi" w:cstheme="minorHAnsi"/>
          <w:sz w:val="22"/>
          <w:szCs w:val="22"/>
        </w:rPr>
        <w:t>en mellom dommer og klubb</w:t>
      </w:r>
      <w:r w:rsidRPr="002373D4">
        <w:rPr>
          <w:rFonts w:asciiTheme="minorHAnsi" w:hAnsiTheme="minorHAnsi" w:cstheme="minorHAnsi"/>
          <w:sz w:val="22"/>
          <w:szCs w:val="22"/>
        </w:rPr>
        <w:t xml:space="preserve"> er </w:t>
      </w:r>
      <w:r>
        <w:rPr>
          <w:rFonts w:asciiTheme="minorHAnsi" w:hAnsiTheme="minorHAnsi" w:cstheme="minorHAnsi"/>
          <w:sz w:val="22"/>
          <w:szCs w:val="22"/>
        </w:rPr>
        <w:t xml:space="preserve">å skape et ryddig og oversiktlig samarbeid.  Kontrakten skal være enkel og </w:t>
      </w:r>
      <w:r w:rsidRPr="002373D4">
        <w:rPr>
          <w:rFonts w:asciiTheme="minorHAnsi" w:hAnsiTheme="minorHAnsi" w:cstheme="minorHAnsi"/>
          <w:sz w:val="22"/>
          <w:szCs w:val="22"/>
        </w:rPr>
        <w:t xml:space="preserve">avklare </w:t>
      </w:r>
      <w:r>
        <w:rPr>
          <w:rFonts w:asciiTheme="minorHAnsi" w:hAnsiTheme="minorHAnsi" w:cstheme="minorHAnsi"/>
          <w:sz w:val="22"/>
          <w:szCs w:val="22"/>
        </w:rPr>
        <w:t xml:space="preserve">begge parters forpliktelser samt avklare </w:t>
      </w:r>
      <w:r w:rsidRPr="002373D4">
        <w:rPr>
          <w:rFonts w:asciiTheme="minorHAnsi" w:hAnsiTheme="minorHAnsi" w:cstheme="minorHAnsi"/>
          <w:sz w:val="22"/>
          <w:szCs w:val="22"/>
        </w:rPr>
        <w:t xml:space="preserve">praktiske spørsmål </w:t>
      </w:r>
      <w:r>
        <w:rPr>
          <w:rFonts w:asciiTheme="minorHAnsi" w:hAnsiTheme="minorHAnsi" w:cstheme="minorHAnsi"/>
          <w:sz w:val="22"/>
          <w:szCs w:val="22"/>
        </w:rPr>
        <w:t>i avtaleperioden</w:t>
      </w:r>
      <w:r w:rsidRPr="002373D4">
        <w:rPr>
          <w:rFonts w:asciiTheme="minorHAnsi" w:hAnsiTheme="minorHAnsi" w:cstheme="minorHAnsi"/>
          <w:sz w:val="22"/>
          <w:szCs w:val="22"/>
        </w:rPr>
        <w:t>.</w:t>
      </w:r>
    </w:p>
    <w:p w:rsidR="00EF1151" w:rsidRDefault="00EF1151" w:rsidP="00EF1151">
      <w:pPr>
        <w:rPr>
          <w:rFonts w:asciiTheme="minorHAnsi" w:hAnsiTheme="minorHAnsi" w:cstheme="minorHAnsi"/>
          <w:sz w:val="22"/>
          <w:szCs w:val="22"/>
        </w:rPr>
      </w:pPr>
    </w:p>
    <w:p w:rsidR="00EF1151" w:rsidRPr="00AE014B" w:rsidRDefault="00EF1151" w:rsidP="00EF11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Avtaleperioden bør være på minst en hel sesong, lenger kontrakter skaper bedre forutsigbarhet for alle parter.</w:t>
      </w:r>
    </w:p>
    <w:p w:rsidR="00EF1151" w:rsidRPr="00AE014B" w:rsidRDefault="00EF1151" w:rsidP="00EF1151">
      <w:pPr>
        <w:rPr>
          <w:rFonts w:asciiTheme="minorHAnsi" w:hAnsiTheme="minorHAnsi" w:cstheme="minorHAnsi"/>
          <w:sz w:val="22"/>
          <w:szCs w:val="22"/>
        </w:rPr>
      </w:pPr>
    </w:p>
    <w:p w:rsidR="00EF1151" w:rsidRPr="00AE014B" w:rsidRDefault="00EF1151" w:rsidP="00EF11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 kontraktstiden kan dommeren ikke melde seg inn i eller på annen måte representere andre klubber, med mindre begge parter er enige om å oppheve denne kontrakten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014B">
        <w:rPr>
          <w:rFonts w:asciiTheme="minorHAnsi" w:hAnsiTheme="minorHAnsi" w:cstheme="minorHAnsi"/>
          <w:sz w:val="22"/>
          <w:szCs w:val="22"/>
        </w:rPr>
        <w:t xml:space="preserve"> eller at kontrakten fra en av partene blir rettmessig hevet.</w:t>
      </w:r>
    </w:p>
    <w:p w:rsidR="00EF1151" w:rsidRDefault="00EF1151" w:rsidP="00885C7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DA2A14" w:rsidRPr="00D77E2B" w:rsidRDefault="00DA2A14" w:rsidP="00885C7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77E2B">
        <w:rPr>
          <w:rFonts w:asciiTheme="minorHAnsi" w:hAnsiTheme="minorHAnsi" w:cstheme="minorHAnsi"/>
          <w:b/>
          <w:sz w:val="22"/>
          <w:szCs w:val="22"/>
        </w:rPr>
        <w:t>Dommeren forplikter seg til:</w:t>
      </w:r>
    </w:p>
    <w:p w:rsidR="00D77E2B" w:rsidRPr="00AE014B" w:rsidRDefault="00D77E2B" w:rsidP="00D77E2B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Innordne seg etter klubbens, kretsen og Norges Ishockeyforbunds retningslinjer, styringsrett, lover og reglement. Være en positiv og lojal ambassadør for Norsk Ishockey.</w:t>
      </w:r>
    </w:p>
    <w:p w:rsidR="00D77E2B" w:rsidRPr="00AE014B" w:rsidRDefault="00D77E2B" w:rsidP="00D77E2B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Hlk514160936"/>
      <w:r w:rsidRPr="00AE014B">
        <w:rPr>
          <w:rFonts w:asciiTheme="minorHAnsi" w:hAnsiTheme="minorHAnsi" w:cstheme="minorHAnsi"/>
          <w:sz w:val="22"/>
          <w:szCs w:val="22"/>
        </w:rPr>
        <w:t xml:space="preserve">Betale </w:t>
      </w:r>
      <w:r>
        <w:rPr>
          <w:rFonts w:asciiTheme="minorHAnsi" w:hAnsiTheme="minorHAnsi" w:cstheme="minorHAnsi"/>
          <w:sz w:val="22"/>
          <w:szCs w:val="22"/>
        </w:rPr>
        <w:t xml:space="preserve">klubbens </w:t>
      </w:r>
      <w:r w:rsidRPr="00AE014B">
        <w:rPr>
          <w:rFonts w:asciiTheme="minorHAnsi" w:hAnsiTheme="minorHAnsi" w:cstheme="minorHAnsi"/>
          <w:sz w:val="22"/>
          <w:szCs w:val="22"/>
        </w:rPr>
        <w:t>medlemskontingent før seriestart.</w:t>
      </w:r>
    </w:p>
    <w:bookmarkEnd w:id="1"/>
    <w:p w:rsidR="00885C7C" w:rsidRPr="00D77E2B" w:rsidRDefault="00885C7C" w:rsidP="00885C7C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>Benytte det representasjonsantrekk klubben eller overordnet organisasjonsledd eventuelt</w:t>
      </w:r>
    </w:p>
    <w:p w:rsidR="00D77E2B" w:rsidRPr="00D77E2B" w:rsidRDefault="00885C7C" w:rsidP="00D77E2B">
      <w:pPr>
        <w:pStyle w:val="Listeavsnit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>skaffer til veie.</w:t>
      </w:r>
    </w:p>
    <w:p w:rsidR="00DA2A14" w:rsidRPr="00D77E2B" w:rsidRDefault="00DA2A14" w:rsidP="00885C7C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 xml:space="preserve">Dømme </w:t>
      </w:r>
      <w:r w:rsidR="00D77E2B">
        <w:rPr>
          <w:rFonts w:asciiTheme="minorHAnsi" w:hAnsiTheme="minorHAnsi" w:cstheme="minorHAnsi"/>
          <w:sz w:val="22"/>
          <w:szCs w:val="22"/>
        </w:rPr>
        <w:t xml:space="preserve">- fem - </w:t>
      </w:r>
      <w:r w:rsidRPr="00D77E2B">
        <w:rPr>
          <w:rFonts w:asciiTheme="minorHAnsi" w:hAnsiTheme="minorHAnsi" w:cstheme="minorHAnsi"/>
          <w:sz w:val="22"/>
          <w:szCs w:val="22"/>
        </w:rPr>
        <w:t>treningskamper vederlagsfritt i løpet av sesongen.</w:t>
      </w:r>
    </w:p>
    <w:p w:rsidR="00DA2A14" w:rsidRPr="00D77E2B" w:rsidRDefault="00DA2A14" w:rsidP="00885C7C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>Dømme turneringer arrangert av klubben etter nærmere avtalt honorar</w:t>
      </w:r>
      <w:r w:rsidR="00D77E2B">
        <w:rPr>
          <w:rFonts w:asciiTheme="minorHAnsi" w:hAnsiTheme="minorHAnsi" w:cstheme="minorHAnsi"/>
          <w:sz w:val="22"/>
          <w:szCs w:val="22"/>
        </w:rPr>
        <w:t xml:space="preserve"> og kostnadsdekning</w:t>
      </w:r>
      <w:r w:rsidRPr="00D77E2B">
        <w:rPr>
          <w:rFonts w:asciiTheme="minorHAnsi" w:hAnsiTheme="minorHAnsi" w:cstheme="minorHAnsi"/>
          <w:sz w:val="22"/>
          <w:szCs w:val="22"/>
        </w:rPr>
        <w:t>.</w:t>
      </w:r>
    </w:p>
    <w:p w:rsidR="00885C7C" w:rsidRPr="00D77E2B" w:rsidRDefault="005A2FD7" w:rsidP="00885C7C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2" w:name="_Hlk513038657"/>
      <w:r>
        <w:rPr>
          <w:rFonts w:asciiTheme="minorHAnsi" w:hAnsiTheme="minorHAnsi" w:cstheme="minorHAnsi"/>
          <w:sz w:val="22"/>
          <w:szCs w:val="22"/>
        </w:rPr>
        <w:t>B</w:t>
      </w:r>
      <w:r w:rsidR="00D77E2B">
        <w:rPr>
          <w:rFonts w:asciiTheme="minorHAnsi" w:hAnsiTheme="minorHAnsi" w:cstheme="minorHAnsi"/>
          <w:sz w:val="22"/>
          <w:szCs w:val="22"/>
        </w:rPr>
        <w:t>istå klubbens Dommerkontakt - KDA med gjennomføring av</w:t>
      </w:r>
      <w:r w:rsidR="00DA2A14" w:rsidRPr="00D77E2B">
        <w:rPr>
          <w:rFonts w:asciiTheme="minorHAnsi" w:hAnsiTheme="minorHAnsi" w:cstheme="minorHAnsi"/>
          <w:sz w:val="22"/>
          <w:szCs w:val="22"/>
        </w:rPr>
        <w:t xml:space="preserve"> informasjonsmøter om regler </w:t>
      </w:r>
      <w:r w:rsidR="00D77E2B">
        <w:rPr>
          <w:rFonts w:asciiTheme="minorHAnsi" w:hAnsiTheme="minorHAnsi" w:cstheme="minorHAnsi"/>
          <w:sz w:val="22"/>
          <w:szCs w:val="22"/>
        </w:rPr>
        <w:t>og holdninger</w:t>
      </w:r>
      <w:r w:rsidR="00EF1151">
        <w:rPr>
          <w:rFonts w:asciiTheme="minorHAnsi" w:hAnsiTheme="minorHAnsi" w:cstheme="minorHAnsi"/>
          <w:sz w:val="22"/>
          <w:szCs w:val="22"/>
        </w:rPr>
        <w:t>,</w:t>
      </w:r>
      <w:r w:rsidR="00D77E2B">
        <w:rPr>
          <w:rFonts w:asciiTheme="minorHAnsi" w:hAnsiTheme="minorHAnsi" w:cstheme="minorHAnsi"/>
          <w:sz w:val="22"/>
          <w:szCs w:val="22"/>
        </w:rPr>
        <w:t xml:space="preserve"> samt gjennomføring klubbens egne klubbdommerkurs</w:t>
      </w:r>
      <w:r w:rsidR="00DA2A14" w:rsidRPr="00D77E2B">
        <w:rPr>
          <w:rFonts w:asciiTheme="minorHAnsi" w:hAnsiTheme="minorHAnsi" w:cstheme="minorHAnsi"/>
          <w:sz w:val="22"/>
          <w:szCs w:val="22"/>
        </w:rPr>
        <w:t>.</w:t>
      </w:r>
    </w:p>
    <w:p w:rsidR="00EF1151" w:rsidRPr="00AE014B" w:rsidRDefault="00EF1151" w:rsidP="00EF1151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3" w:name="_Hlk513038682"/>
      <w:bookmarkEnd w:id="2"/>
      <w:r w:rsidRPr="00AE014B">
        <w:rPr>
          <w:rFonts w:asciiTheme="minorHAnsi" w:hAnsiTheme="minorHAnsi" w:cstheme="minorHAnsi"/>
          <w:sz w:val="22"/>
          <w:szCs w:val="22"/>
        </w:rPr>
        <w:t xml:space="preserve">Være tilgjengelig for å delta i </w:t>
      </w:r>
      <w:r>
        <w:rPr>
          <w:rFonts w:asciiTheme="minorHAnsi" w:hAnsiTheme="minorHAnsi" w:cstheme="minorHAnsi"/>
          <w:sz w:val="22"/>
          <w:szCs w:val="22"/>
        </w:rPr>
        <w:t>tilstrekkelig antall</w:t>
      </w:r>
      <w:r w:rsidRPr="00AE014B">
        <w:rPr>
          <w:rFonts w:asciiTheme="minorHAnsi" w:hAnsiTheme="minorHAnsi" w:cstheme="minorHAnsi"/>
          <w:sz w:val="22"/>
          <w:szCs w:val="22"/>
        </w:rPr>
        <w:t xml:space="preserve"> kamper til at Norges Ishockeyforbund godkjenner deltakelse i henhold til NIHF Administrasjonsreglement §5 </w:t>
      </w:r>
    </w:p>
    <w:p w:rsidR="00D77E2B" w:rsidRPr="00AE014B" w:rsidRDefault="00D77E2B" w:rsidP="00D77E2B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4" w:name="_Hlk514145884"/>
      <w:r>
        <w:rPr>
          <w:rFonts w:asciiTheme="minorHAnsi" w:hAnsiTheme="minorHAnsi" w:cstheme="minorHAnsi"/>
          <w:sz w:val="22"/>
          <w:szCs w:val="22"/>
        </w:rPr>
        <w:t>Fremlegge godkjente kvitteringer dersom utlegg gjøres i henhold til avtaletekst</w:t>
      </w:r>
      <w:r w:rsidR="00C655CC">
        <w:rPr>
          <w:rFonts w:asciiTheme="minorHAnsi" w:hAnsiTheme="minorHAnsi" w:cstheme="minorHAnsi"/>
          <w:sz w:val="22"/>
          <w:szCs w:val="22"/>
        </w:rPr>
        <w:t>.</w:t>
      </w:r>
    </w:p>
    <w:bookmarkEnd w:id="3"/>
    <w:bookmarkEnd w:id="4"/>
    <w:p w:rsidR="00130B91" w:rsidRPr="00D77E2B" w:rsidRDefault="00130B91" w:rsidP="0088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D77E2B" w:rsidRDefault="00DA2A14" w:rsidP="00885C7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77E2B">
        <w:rPr>
          <w:rFonts w:asciiTheme="minorHAnsi" w:hAnsiTheme="minorHAnsi" w:cstheme="minorHAnsi"/>
          <w:b/>
          <w:sz w:val="22"/>
          <w:szCs w:val="22"/>
        </w:rPr>
        <w:t>Klubben forplikter seg til:</w:t>
      </w:r>
    </w:p>
    <w:p w:rsidR="00DA2A14" w:rsidRPr="00D77E2B" w:rsidRDefault="00DA2A14" w:rsidP="00302B0E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513038704"/>
      <w:r w:rsidRPr="00D77E2B">
        <w:rPr>
          <w:rFonts w:asciiTheme="minorHAnsi" w:hAnsiTheme="minorHAnsi" w:cstheme="minorHAnsi"/>
          <w:sz w:val="22"/>
          <w:szCs w:val="22"/>
        </w:rPr>
        <w:t xml:space="preserve">Betale </w:t>
      </w:r>
      <w:r w:rsidR="00302B0E" w:rsidRPr="00D77E2B">
        <w:rPr>
          <w:rFonts w:asciiTheme="minorHAnsi" w:hAnsiTheme="minorHAnsi" w:cstheme="minorHAnsi"/>
          <w:sz w:val="22"/>
          <w:szCs w:val="22"/>
        </w:rPr>
        <w:t xml:space="preserve">utvidet </w:t>
      </w:r>
      <w:r w:rsidRPr="00D77E2B">
        <w:rPr>
          <w:rFonts w:asciiTheme="minorHAnsi" w:hAnsiTheme="minorHAnsi" w:cstheme="minorHAnsi"/>
          <w:sz w:val="22"/>
          <w:szCs w:val="22"/>
        </w:rPr>
        <w:t>lisens for dommeren.</w:t>
      </w:r>
    </w:p>
    <w:bookmarkEnd w:id="5"/>
    <w:p w:rsidR="00D77E2B" w:rsidRDefault="00302B0E" w:rsidP="00302B0E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 xml:space="preserve">Besørge nødvendig </w:t>
      </w:r>
      <w:r w:rsidR="00C655CC">
        <w:rPr>
          <w:rFonts w:asciiTheme="minorHAnsi" w:hAnsiTheme="minorHAnsi" w:cstheme="minorHAnsi"/>
          <w:sz w:val="22"/>
          <w:szCs w:val="22"/>
        </w:rPr>
        <w:t xml:space="preserve">godkjent </w:t>
      </w:r>
      <w:r w:rsidRPr="00D77E2B">
        <w:rPr>
          <w:rFonts w:asciiTheme="minorHAnsi" w:hAnsiTheme="minorHAnsi" w:cstheme="minorHAnsi"/>
          <w:sz w:val="22"/>
          <w:szCs w:val="22"/>
        </w:rPr>
        <w:t xml:space="preserve">trenings og dommerutstyr i avtaleperioden. </w:t>
      </w:r>
    </w:p>
    <w:p w:rsidR="00C655CC" w:rsidRDefault="00C655CC" w:rsidP="00302B0E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 anskaffelse av nytt utstyr skal dette være av samme </w:t>
      </w:r>
      <w:r w:rsidR="00EF1151">
        <w:rPr>
          <w:rFonts w:asciiTheme="minorHAnsi" w:hAnsiTheme="minorHAnsi" w:cstheme="minorHAnsi"/>
          <w:sz w:val="22"/>
          <w:szCs w:val="22"/>
        </w:rPr>
        <w:t>fabrikat som NIHF har valgt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655CC" w:rsidRDefault="00C655CC" w:rsidP="00302B0E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513038795"/>
      <w:r>
        <w:rPr>
          <w:rFonts w:asciiTheme="minorHAnsi" w:hAnsiTheme="minorHAnsi" w:cstheme="minorHAnsi"/>
          <w:sz w:val="22"/>
          <w:szCs w:val="22"/>
        </w:rPr>
        <w:t>En kostnadsdekning på t</w:t>
      </w:r>
      <w:r w:rsidR="005A2FD7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enings og dommerutstyr begrenset oppad til kr 5.000,- i løpet av avtaleperioden.</w:t>
      </w:r>
    </w:p>
    <w:p w:rsidR="00EF1151" w:rsidRPr="00AE014B" w:rsidRDefault="00EF1151" w:rsidP="00EF1151">
      <w:pPr>
        <w:pStyle w:val="Brdtek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bookmarkStart w:id="7" w:name="_Hlk514161153"/>
      <w:bookmarkEnd w:id="6"/>
      <w:r w:rsidRPr="00AE014B">
        <w:rPr>
          <w:rFonts w:asciiTheme="minorHAnsi" w:hAnsiTheme="minorHAnsi" w:cstheme="minorHAnsi"/>
          <w:sz w:val="22"/>
          <w:szCs w:val="22"/>
        </w:rPr>
        <w:t xml:space="preserve">Dekke egenandel ved deltakelse på pliktige </w:t>
      </w:r>
      <w:r>
        <w:rPr>
          <w:rFonts w:asciiTheme="minorHAnsi" w:hAnsiTheme="minorHAnsi" w:cstheme="minorHAnsi"/>
          <w:sz w:val="22"/>
          <w:szCs w:val="22"/>
        </w:rPr>
        <w:t>kurs i regi av krets, NIHF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Klubben skal kun betale de faktiske utgiftene som enten er lagt ut eller </w:t>
      </w:r>
      <w:r>
        <w:rPr>
          <w:rFonts w:asciiTheme="minorHAnsi" w:hAnsiTheme="minorHAnsi" w:cstheme="minorHAnsi"/>
          <w:sz w:val="22"/>
          <w:szCs w:val="22"/>
        </w:rPr>
        <w:t>som faktureres klubb fra k</w:t>
      </w:r>
      <w:r w:rsidRPr="00AE014B">
        <w:rPr>
          <w:rFonts w:asciiTheme="minorHAnsi" w:hAnsiTheme="minorHAnsi" w:cstheme="minorHAnsi"/>
          <w:sz w:val="22"/>
          <w:szCs w:val="22"/>
        </w:rPr>
        <w:t>rets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014B">
        <w:rPr>
          <w:rFonts w:asciiTheme="minorHAnsi" w:hAnsiTheme="minorHAnsi" w:cstheme="minorHAnsi"/>
          <w:sz w:val="22"/>
          <w:szCs w:val="22"/>
        </w:rPr>
        <w:t xml:space="preserve"> NIHF</w:t>
      </w:r>
      <w:r>
        <w:rPr>
          <w:rFonts w:asciiTheme="minorHAnsi" w:hAnsiTheme="minorHAnsi" w:cstheme="minorHAnsi"/>
          <w:sz w:val="22"/>
          <w:szCs w:val="22"/>
        </w:rPr>
        <w:t xml:space="preserve">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Frivillige samlinger skal til enhver tid diskuteres. </w:t>
      </w:r>
    </w:p>
    <w:bookmarkEnd w:id="7"/>
    <w:p w:rsidR="00302B0E" w:rsidRPr="00D77E2B" w:rsidRDefault="00302B0E" w:rsidP="00302B0E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 xml:space="preserve">Gi dommer tilgang til eksterne samarbeidsavtaler som for eksempel treningssenter eller annet klubben tilbyr sine medlemmer </w:t>
      </w:r>
    </w:p>
    <w:p w:rsidR="00DA2A14" w:rsidRPr="00D77E2B" w:rsidRDefault="00DA2A14" w:rsidP="0088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1151" w:rsidRPr="00AE014B" w:rsidRDefault="00EF1151" w:rsidP="00EF11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lastRenderedPageBreak/>
        <w:t xml:space="preserve">Obligatorisk </w:t>
      </w:r>
      <w:r w:rsidR="00C37180">
        <w:rPr>
          <w:rFonts w:asciiTheme="minorHAnsi" w:hAnsiTheme="minorHAnsi" w:cstheme="minorHAnsi"/>
          <w:sz w:val="22"/>
          <w:szCs w:val="22"/>
        </w:rPr>
        <w:t xml:space="preserve">(minstekrav) </w:t>
      </w:r>
      <w:r w:rsidRPr="00AE014B">
        <w:rPr>
          <w:rFonts w:asciiTheme="minorHAnsi" w:hAnsiTheme="minorHAnsi" w:cstheme="minorHAnsi"/>
          <w:sz w:val="22"/>
          <w:szCs w:val="22"/>
        </w:rPr>
        <w:t xml:space="preserve">dommerutstyr for </w:t>
      </w:r>
      <w:r>
        <w:rPr>
          <w:rFonts w:asciiTheme="minorHAnsi" w:hAnsiTheme="minorHAnsi" w:cstheme="minorHAnsi"/>
          <w:sz w:val="22"/>
          <w:szCs w:val="22"/>
        </w:rPr>
        <w:t xml:space="preserve">forbundsnivå </w:t>
      </w:r>
      <w:r w:rsidRPr="00AE014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nivå 3</w:t>
      </w:r>
      <w:r w:rsidRPr="00AE014B">
        <w:rPr>
          <w:rFonts w:asciiTheme="minorHAnsi" w:hAnsiTheme="minorHAnsi" w:cstheme="minorHAnsi"/>
          <w:sz w:val="22"/>
          <w:szCs w:val="22"/>
        </w:rPr>
        <w:t>) er:</w:t>
      </w:r>
    </w:p>
    <w:p w:rsidR="00EF1151" w:rsidRPr="00AE014B" w:rsidRDefault="00EF1151" w:rsidP="00EF115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Sort hjelm </w:t>
      </w:r>
      <w:r>
        <w:rPr>
          <w:rFonts w:asciiTheme="minorHAnsi" w:hAnsiTheme="minorHAnsi" w:cstheme="minorHAnsi"/>
          <w:sz w:val="22"/>
          <w:szCs w:val="22"/>
        </w:rPr>
        <w:t xml:space="preserve">CCM, </w:t>
      </w:r>
      <w:r w:rsidRPr="00AE014B">
        <w:rPr>
          <w:rFonts w:asciiTheme="minorHAnsi" w:hAnsiTheme="minorHAnsi" w:cstheme="minorHAnsi"/>
          <w:sz w:val="22"/>
          <w:szCs w:val="22"/>
        </w:rPr>
        <w:t>med tilhørende visir (CE merket)</w:t>
      </w:r>
    </w:p>
    <w:p w:rsidR="00EF1151" w:rsidRDefault="00EF1151" w:rsidP="00EF115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Sort dommerbukse</w:t>
      </w:r>
    </w:p>
    <w:p w:rsidR="00C37180" w:rsidRPr="00AE014B" w:rsidRDefault="00C37180" w:rsidP="00EF115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Legg og albue beskyttere samt susp</w:t>
      </w:r>
    </w:p>
    <w:p w:rsidR="00EF1151" w:rsidRPr="00AE014B" w:rsidRDefault="00EF1151" w:rsidP="00EF115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Dommerdrakt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sz w:val="22"/>
          <w:szCs w:val="22"/>
        </w:rPr>
        <w:t>Meca</w:t>
      </w:r>
      <w:proofErr w:type="spellEnd"/>
    </w:p>
    <w:p w:rsidR="00F91E15" w:rsidRPr="00F91E15" w:rsidRDefault="00EF1151" w:rsidP="00F91E15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Fløyte</w:t>
      </w:r>
      <w:r w:rsidR="00C37180">
        <w:rPr>
          <w:rFonts w:asciiTheme="minorHAnsi" w:hAnsiTheme="minorHAnsi" w:cstheme="minorHAnsi"/>
          <w:sz w:val="22"/>
          <w:szCs w:val="22"/>
        </w:rPr>
        <w:t xml:space="preserve"> og notisblokk</w:t>
      </w:r>
    </w:p>
    <w:p w:rsidR="00EF1151" w:rsidRDefault="00F91E15" w:rsidP="00EF115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Oppvarmingsantrekk</w:t>
      </w:r>
      <w:bookmarkStart w:id="8" w:name="_GoBack"/>
      <w:bookmarkEnd w:id="8"/>
    </w:p>
    <w:p w:rsidR="00302B0E" w:rsidRPr="00D77E2B" w:rsidRDefault="00302B0E" w:rsidP="0088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Hlk513039016"/>
      <w:r w:rsidRPr="00AE014B">
        <w:rPr>
          <w:rFonts w:asciiTheme="minorHAnsi" w:hAnsiTheme="minorHAnsi" w:cstheme="minorHAnsi"/>
          <w:sz w:val="22"/>
          <w:szCs w:val="22"/>
        </w:rPr>
        <w:t xml:space="preserve">Kontrakten </w:t>
      </w:r>
      <w:r>
        <w:rPr>
          <w:rFonts w:asciiTheme="minorHAnsi" w:hAnsiTheme="minorHAnsi" w:cstheme="minorHAnsi"/>
          <w:sz w:val="22"/>
          <w:szCs w:val="22"/>
        </w:rPr>
        <w:t>kan</w:t>
      </w:r>
      <w:r w:rsidRPr="00AE014B">
        <w:rPr>
          <w:rFonts w:asciiTheme="minorHAnsi" w:hAnsiTheme="minorHAnsi" w:cstheme="minorHAnsi"/>
          <w:sz w:val="22"/>
          <w:szCs w:val="22"/>
        </w:rPr>
        <w:t xml:space="preserve"> ved hver mellomsesong være gjenstand for diskusjon vedrørende endringer. Dersom det er enighet om å terminere kontrakten før utløp, skal klubbens </w:t>
      </w:r>
      <w:r>
        <w:rPr>
          <w:rFonts w:asciiTheme="minorHAnsi" w:hAnsiTheme="minorHAnsi" w:cstheme="minorHAnsi"/>
          <w:sz w:val="22"/>
          <w:szCs w:val="22"/>
        </w:rPr>
        <w:t xml:space="preserve">eller dommerens </w:t>
      </w:r>
      <w:r w:rsidRPr="00AE014B">
        <w:rPr>
          <w:rFonts w:asciiTheme="minorHAnsi" w:hAnsiTheme="minorHAnsi" w:cstheme="minorHAnsi"/>
          <w:sz w:val="22"/>
          <w:szCs w:val="22"/>
        </w:rPr>
        <w:t xml:space="preserve">utlegg </w:t>
      </w:r>
      <w:r>
        <w:rPr>
          <w:rFonts w:asciiTheme="minorHAnsi" w:hAnsiTheme="minorHAnsi" w:cstheme="minorHAnsi"/>
          <w:sz w:val="22"/>
          <w:szCs w:val="22"/>
        </w:rPr>
        <w:t>gjøres opp umiddelbart og dommer fristilles deretter</w:t>
      </w:r>
      <w:r w:rsidRPr="00AE01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F1151" w:rsidRDefault="00EF1151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1151" w:rsidRPr="00AE014B" w:rsidRDefault="00EF1151" w:rsidP="00EF11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0" w:name="_Hlk514161281"/>
      <w:r>
        <w:rPr>
          <w:rFonts w:asciiTheme="minorHAnsi" w:hAnsiTheme="minorHAnsi" w:cstheme="minorHAnsi"/>
          <w:sz w:val="22"/>
          <w:szCs w:val="22"/>
        </w:rPr>
        <w:t>Dersom, i løpet av avtaleperioden, en dommers nivå endres fra Kretsen eller NIHF, kan dommer eller klubb kreve at kontrakten skal revurderes til rett nivå.</w:t>
      </w:r>
    </w:p>
    <w:bookmarkEnd w:id="10"/>
    <w:p w:rsidR="00EF1151" w:rsidRPr="00AE014B" w:rsidRDefault="00EF1151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Utstyr som tildeles dommer, eller anskaffes av dommer</w:t>
      </w:r>
      <w:r>
        <w:rPr>
          <w:rFonts w:asciiTheme="minorHAnsi" w:hAnsiTheme="minorHAnsi" w:cstheme="minorHAnsi"/>
          <w:sz w:val="22"/>
          <w:szCs w:val="22"/>
        </w:rPr>
        <w:t xml:space="preserve"> via utleggsdekning</w:t>
      </w:r>
      <w:r w:rsidRPr="00AE014B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løpet av</w:t>
      </w:r>
      <w:r w:rsidRPr="00AE014B">
        <w:rPr>
          <w:rFonts w:asciiTheme="minorHAnsi" w:hAnsiTheme="minorHAnsi" w:cstheme="minorHAnsi"/>
          <w:sz w:val="22"/>
          <w:szCs w:val="22"/>
        </w:rPr>
        <w:t xml:space="preserve"> avtaleperioden er klubbens eie og skal returneres til klubben når avtalen utløper eller avsluttes.</w:t>
      </w: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Ved kontraktstidens utløp eller dersom rettmessig heving er foretatt, kan dommeren fritt søke overgang til annen klubb. Overgang må skje iht. </w:t>
      </w:r>
      <w:proofErr w:type="spellStart"/>
      <w:r w:rsidRPr="00AE014B">
        <w:rPr>
          <w:rFonts w:asciiTheme="minorHAnsi" w:hAnsiTheme="minorHAnsi" w:cstheme="minorHAnsi"/>
          <w:sz w:val="22"/>
          <w:szCs w:val="22"/>
        </w:rPr>
        <w:t>NIHF`s</w:t>
      </w:r>
      <w:proofErr w:type="spellEnd"/>
      <w:r w:rsidRPr="00AE014B">
        <w:rPr>
          <w:rFonts w:asciiTheme="minorHAnsi" w:hAnsiTheme="minorHAnsi" w:cstheme="minorHAnsi"/>
          <w:sz w:val="22"/>
          <w:szCs w:val="22"/>
        </w:rPr>
        <w:t xml:space="preserve"> lover og regler.</w:t>
      </w: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Ved vesentlig kontraktsbrudd kan den annen part heve kontrakten. Som vesentlig kontraktsbrudd regnes å unnlate å oppfylle forpliktelsene nevnt ovenfor.</w:t>
      </w: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Begge parter forplikter seg i enhver sammenheng å innordne seg etter NIHF og overordnet organisasjonsledds lover og reglement.</w:t>
      </w: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55CC" w:rsidRPr="00AE014B" w:rsidRDefault="00C655CC" w:rsidP="00C655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Kontrakten er utstedt i 2 -to- eksemplarer hvorav parten beholder hvert sitt.</w:t>
      </w:r>
    </w:p>
    <w:bookmarkEnd w:id="9"/>
    <w:p w:rsidR="00302B0E" w:rsidRPr="00D77E2B" w:rsidRDefault="00302B0E" w:rsidP="00302B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02B0E" w:rsidRPr="00D77E2B" w:rsidRDefault="00302B0E" w:rsidP="00302B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02B0E" w:rsidRPr="00D77E2B" w:rsidRDefault="00302B0E" w:rsidP="00302B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394"/>
      </w:tblGrid>
      <w:tr w:rsidR="00302B0E" w:rsidRPr="00D77E2B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>Sted: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 xml:space="preserve">Dato:  </w:t>
            </w:r>
          </w:p>
        </w:tc>
      </w:tr>
      <w:tr w:rsidR="00302B0E" w:rsidRPr="00D77E2B" w:rsidTr="003714E9">
        <w:trPr>
          <w:trHeight w:val="4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B0E" w:rsidRPr="00D77E2B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 xml:space="preserve">Dommer –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2B0E" w:rsidRPr="00D77E2B" w:rsidRDefault="00302B0E" w:rsidP="003714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7E2B">
              <w:rPr>
                <w:rFonts w:asciiTheme="minorHAnsi" w:hAnsiTheme="minorHAnsi" w:cstheme="minorHAnsi"/>
                <w:sz w:val="22"/>
                <w:szCs w:val="22"/>
              </w:rPr>
              <w:t xml:space="preserve">Klubb –  </w:t>
            </w:r>
          </w:p>
        </w:tc>
      </w:tr>
    </w:tbl>
    <w:p w:rsidR="00DD6B15" w:rsidRPr="00D77E2B" w:rsidRDefault="00DD6B15" w:rsidP="00302B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6B15" w:rsidRPr="00D7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23A"/>
    <w:multiLevelType w:val="hybridMultilevel"/>
    <w:tmpl w:val="2F82D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AB4"/>
    <w:multiLevelType w:val="hybridMultilevel"/>
    <w:tmpl w:val="7A348B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5F8"/>
    <w:multiLevelType w:val="hybridMultilevel"/>
    <w:tmpl w:val="ACFCCE6E"/>
    <w:lvl w:ilvl="0" w:tplc="5E4A987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790"/>
    <w:multiLevelType w:val="hybridMultilevel"/>
    <w:tmpl w:val="25C66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823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23A8"/>
    <w:multiLevelType w:val="hybridMultilevel"/>
    <w:tmpl w:val="3D26569A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73DE5"/>
    <w:multiLevelType w:val="hybridMultilevel"/>
    <w:tmpl w:val="825EB0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F1B80"/>
    <w:multiLevelType w:val="hybridMultilevel"/>
    <w:tmpl w:val="84B812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15"/>
    <w:rsid w:val="00013B72"/>
    <w:rsid w:val="001072F5"/>
    <w:rsid w:val="00130B91"/>
    <w:rsid w:val="00302B0E"/>
    <w:rsid w:val="005A2FD7"/>
    <w:rsid w:val="00657720"/>
    <w:rsid w:val="00846D64"/>
    <w:rsid w:val="00885C7C"/>
    <w:rsid w:val="009565CF"/>
    <w:rsid w:val="00C37180"/>
    <w:rsid w:val="00C655CC"/>
    <w:rsid w:val="00D77E2B"/>
    <w:rsid w:val="00DA2A14"/>
    <w:rsid w:val="00DD6B15"/>
    <w:rsid w:val="00DE35B1"/>
    <w:rsid w:val="00EF1151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26B4"/>
  <w15:chartTrackingRefBased/>
  <w15:docId w15:val="{C2550364-A847-4446-97D5-20930F5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A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A2A14"/>
    <w:pPr>
      <w:ind w:right="1700"/>
    </w:pPr>
  </w:style>
  <w:style w:type="character" w:customStyle="1" w:styleId="BrdtekstTegn">
    <w:name w:val="Brødtekst Tegn"/>
    <w:basedOn w:val="Standardskriftforavsnitt"/>
    <w:link w:val="Brdtekst"/>
    <w:rsid w:val="00DA2A1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2">
    <w:name w:val="Body Text 2"/>
    <w:basedOn w:val="Normal"/>
    <w:link w:val="Brdtekst2Tegn"/>
    <w:rsid w:val="00DA2A14"/>
    <w:pPr>
      <w:ind w:right="1700"/>
    </w:pPr>
    <w:rPr>
      <w:b/>
      <w:smallCaps/>
      <w:sz w:val="28"/>
    </w:rPr>
  </w:style>
  <w:style w:type="character" w:customStyle="1" w:styleId="Brdtekst2Tegn">
    <w:name w:val="Brødtekst 2 Tegn"/>
    <w:basedOn w:val="Standardskriftforavsnitt"/>
    <w:link w:val="Brdtekst2"/>
    <w:rsid w:val="00DA2A14"/>
    <w:rPr>
      <w:rFonts w:ascii="Times New Roman" w:eastAsia="Times New Roman" w:hAnsi="Times New Roman" w:cs="Times New Roman"/>
      <w:b/>
      <w:smallCaps/>
      <w:sz w:val="28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85C7C"/>
    <w:pPr>
      <w:ind w:left="720"/>
      <w:contextualSpacing/>
    </w:pPr>
  </w:style>
  <w:style w:type="table" w:styleId="Tabellrutenett">
    <w:name w:val="Table Grid"/>
    <w:basedOn w:val="Vanligtabell"/>
    <w:uiPriority w:val="39"/>
    <w:rsid w:val="00D7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Geir Thomas</dc:creator>
  <cp:keywords/>
  <dc:description/>
  <cp:lastModifiedBy>Olsen, Geir Thomas</cp:lastModifiedBy>
  <cp:revision>11</cp:revision>
  <dcterms:created xsi:type="dcterms:W3CDTF">2018-05-02T11:04:00Z</dcterms:created>
  <dcterms:modified xsi:type="dcterms:W3CDTF">2018-05-18T07:57:00Z</dcterms:modified>
</cp:coreProperties>
</file>